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502AC" w14:textId="1360E502" w:rsidR="00467D9C" w:rsidRPr="00D53CAB" w:rsidRDefault="00467D9C" w:rsidP="00467D9C">
      <w:pPr>
        <w:tabs>
          <w:tab w:val="right" w:pos="9639"/>
        </w:tabs>
        <w:spacing w:after="60"/>
        <w:rPr>
          <w:b/>
          <w:color w:val="000000"/>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53CAB">
        <w:rPr>
          <w:b/>
          <w:color w:val="000000"/>
          <w:sz w:val="24"/>
        </w:rPr>
        <w:t>3GPP TSG RAN WG1 Meeting #9</w:t>
      </w:r>
      <w:r w:rsidR="00BD3F39" w:rsidRPr="00D53CAB">
        <w:rPr>
          <w:b/>
          <w:color w:val="000000"/>
          <w:sz w:val="24"/>
        </w:rPr>
        <w:t>8</w:t>
      </w:r>
      <w:r w:rsidR="0006049F">
        <w:rPr>
          <w:b/>
          <w:color w:val="000000"/>
          <w:sz w:val="24"/>
        </w:rPr>
        <w:t>-Bis</w:t>
      </w:r>
      <w:r w:rsidRPr="00D53CAB">
        <w:rPr>
          <w:b/>
          <w:color w:val="000000"/>
          <w:sz w:val="24"/>
        </w:rPr>
        <w:t xml:space="preserve"> </w:t>
      </w:r>
      <w:r w:rsidRPr="00D53CAB">
        <w:rPr>
          <w:b/>
          <w:color w:val="000000"/>
          <w:sz w:val="24"/>
        </w:rPr>
        <w:tab/>
      </w:r>
      <w:r w:rsidR="004A0AB3" w:rsidRPr="004A0AB3">
        <w:rPr>
          <w:b/>
          <w:color w:val="000000"/>
          <w:sz w:val="24"/>
        </w:rPr>
        <w:t>R1-1911213</w:t>
      </w:r>
    </w:p>
    <w:p w14:paraId="170463EB" w14:textId="09238011" w:rsidR="00467D9C" w:rsidRPr="00D53CAB" w:rsidRDefault="00CB5EFF" w:rsidP="00467D9C">
      <w:pPr>
        <w:rPr>
          <w:b/>
          <w:color w:val="000000"/>
          <w:sz w:val="24"/>
        </w:rPr>
      </w:pPr>
      <w:r>
        <w:rPr>
          <w:b/>
          <w:color w:val="000000"/>
          <w:sz w:val="24"/>
        </w:rPr>
        <w:t>Chongqing</w:t>
      </w:r>
      <w:r w:rsidR="00467D9C" w:rsidRPr="00D53CAB">
        <w:rPr>
          <w:b/>
          <w:color w:val="000000"/>
          <w:sz w:val="24"/>
        </w:rPr>
        <w:t>,</w:t>
      </w:r>
      <w:r w:rsidR="00BD3F39" w:rsidRPr="00D53CAB">
        <w:rPr>
          <w:b/>
          <w:color w:val="000000"/>
          <w:sz w:val="24"/>
        </w:rPr>
        <w:t xml:space="preserve"> </w:t>
      </w:r>
      <w:r>
        <w:rPr>
          <w:b/>
          <w:color w:val="000000"/>
          <w:sz w:val="24"/>
        </w:rPr>
        <w:t>CN</w:t>
      </w:r>
      <w:r w:rsidR="00467D9C" w:rsidRPr="00D53CAB">
        <w:rPr>
          <w:b/>
          <w:color w:val="000000"/>
          <w:sz w:val="24"/>
        </w:rPr>
        <w:t xml:space="preserve">, </w:t>
      </w:r>
      <w:r>
        <w:rPr>
          <w:b/>
          <w:color w:val="000000"/>
          <w:sz w:val="24"/>
        </w:rPr>
        <w:t>14</w:t>
      </w:r>
      <w:r w:rsidR="00467D9C" w:rsidRPr="000A7565">
        <w:rPr>
          <w:b/>
          <w:color w:val="000000"/>
          <w:sz w:val="24"/>
          <w:vertAlign w:val="superscript"/>
        </w:rPr>
        <w:t>th</w:t>
      </w:r>
      <w:r w:rsidR="000A7565">
        <w:rPr>
          <w:b/>
          <w:color w:val="000000"/>
          <w:sz w:val="24"/>
        </w:rPr>
        <w:t xml:space="preserve"> </w:t>
      </w:r>
      <w:r>
        <w:rPr>
          <w:b/>
          <w:color w:val="000000"/>
          <w:sz w:val="24"/>
        </w:rPr>
        <w:t>October</w:t>
      </w:r>
      <w:r w:rsidR="00195B0A" w:rsidRPr="00D53CAB">
        <w:rPr>
          <w:b/>
          <w:color w:val="000000"/>
          <w:sz w:val="24"/>
        </w:rPr>
        <w:t xml:space="preserve"> </w:t>
      </w:r>
      <w:r w:rsidR="00BD3F39" w:rsidRPr="00D53CAB">
        <w:rPr>
          <w:b/>
          <w:color w:val="000000"/>
          <w:sz w:val="24"/>
        </w:rPr>
        <w:t>–</w:t>
      </w:r>
      <w:r w:rsidR="00467D9C" w:rsidRPr="00D53CAB">
        <w:rPr>
          <w:b/>
          <w:color w:val="000000"/>
          <w:sz w:val="24"/>
        </w:rPr>
        <w:t xml:space="preserve"> </w:t>
      </w:r>
      <w:r>
        <w:rPr>
          <w:b/>
          <w:color w:val="000000"/>
          <w:sz w:val="24"/>
        </w:rPr>
        <w:t>18</w:t>
      </w:r>
      <w:r w:rsidR="00BD3F39" w:rsidRPr="000A7565">
        <w:rPr>
          <w:b/>
          <w:color w:val="000000"/>
          <w:sz w:val="24"/>
          <w:vertAlign w:val="superscript"/>
        </w:rPr>
        <w:t>th</w:t>
      </w:r>
      <w:r w:rsidR="000A7565">
        <w:rPr>
          <w:b/>
          <w:color w:val="000000"/>
          <w:sz w:val="24"/>
        </w:rPr>
        <w:t xml:space="preserve"> </w:t>
      </w:r>
      <w:r>
        <w:rPr>
          <w:b/>
          <w:color w:val="000000"/>
          <w:sz w:val="24"/>
        </w:rPr>
        <w:t>October</w:t>
      </w:r>
      <w:r w:rsidR="00195B0A" w:rsidRPr="00D53CAB">
        <w:rPr>
          <w:b/>
          <w:color w:val="000000"/>
          <w:sz w:val="24"/>
        </w:rPr>
        <w:t xml:space="preserve"> </w:t>
      </w:r>
      <w:r w:rsidR="00467D9C" w:rsidRPr="00D53CAB">
        <w:rPr>
          <w:b/>
          <w:color w:val="000000"/>
          <w:sz w:val="24"/>
        </w:rPr>
        <w:t>2019</w:t>
      </w:r>
    </w:p>
    <w:p w14:paraId="1E79E359" w14:textId="6FBEFF0B" w:rsidR="00467D9C" w:rsidRPr="004C0FD0" w:rsidRDefault="00467D9C" w:rsidP="00467D9C">
      <w:pPr>
        <w:tabs>
          <w:tab w:val="left" w:pos="1800"/>
        </w:tabs>
        <w:spacing w:after="60"/>
        <w:ind w:left="1800" w:hanging="1800"/>
        <w:rPr>
          <w:b/>
          <w:sz w:val="24"/>
        </w:rPr>
      </w:pPr>
      <w:r w:rsidRPr="004C0FD0">
        <w:rPr>
          <w:b/>
          <w:color w:val="000000"/>
          <w:sz w:val="24"/>
        </w:rPr>
        <w:t>Title:</w:t>
      </w:r>
      <w:r w:rsidRPr="004C0FD0">
        <w:rPr>
          <w:b/>
          <w:color w:val="000000"/>
          <w:sz w:val="24"/>
        </w:rPr>
        <w:tab/>
      </w:r>
      <w:r w:rsidR="00AF2422">
        <w:rPr>
          <w:b/>
          <w:color w:val="000000"/>
          <w:sz w:val="24"/>
        </w:rPr>
        <w:t xml:space="preserve">Calibration </w:t>
      </w:r>
      <w:r w:rsidR="001367A8">
        <w:rPr>
          <w:b/>
          <w:color w:val="000000"/>
          <w:sz w:val="24"/>
        </w:rPr>
        <w:t xml:space="preserve">results </w:t>
      </w:r>
      <w:r w:rsidR="00AF2422">
        <w:rPr>
          <w:b/>
          <w:color w:val="000000"/>
          <w:sz w:val="24"/>
        </w:rPr>
        <w:t xml:space="preserve">and </w:t>
      </w:r>
      <w:r w:rsidR="002F0A41">
        <w:rPr>
          <w:b/>
          <w:color w:val="000000"/>
          <w:sz w:val="24"/>
        </w:rPr>
        <w:t xml:space="preserve">link budget </w:t>
      </w:r>
      <w:r w:rsidR="001367A8">
        <w:rPr>
          <w:b/>
          <w:color w:val="000000"/>
          <w:sz w:val="24"/>
        </w:rPr>
        <w:t>analysis</w:t>
      </w:r>
    </w:p>
    <w:p w14:paraId="451390EB" w14:textId="24C2B577" w:rsidR="00467D9C" w:rsidRPr="004C0FD0" w:rsidRDefault="00467D9C" w:rsidP="00467D9C">
      <w:pPr>
        <w:tabs>
          <w:tab w:val="left" w:pos="1800"/>
        </w:tabs>
        <w:spacing w:after="60"/>
        <w:rPr>
          <w:b/>
          <w:sz w:val="24"/>
        </w:rPr>
      </w:pPr>
      <w:r w:rsidRPr="004C0FD0">
        <w:rPr>
          <w:b/>
          <w:sz w:val="24"/>
        </w:rPr>
        <w:t xml:space="preserve">Source: </w:t>
      </w:r>
      <w:r w:rsidRPr="004C0FD0">
        <w:rPr>
          <w:b/>
          <w:sz w:val="24"/>
        </w:rPr>
        <w:tab/>
        <w:t xml:space="preserve">Thales </w:t>
      </w:r>
    </w:p>
    <w:p w14:paraId="1AAB5B12" w14:textId="77777777" w:rsidR="00467D9C" w:rsidRPr="004C0FD0" w:rsidRDefault="00467D9C" w:rsidP="00467D9C">
      <w:pPr>
        <w:tabs>
          <w:tab w:val="left" w:pos="1800"/>
        </w:tabs>
        <w:spacing w:after="60"/>
        <w:rPr>
          <w:b/>
          <w:sz w:val="24"/>
        </w:rPr>
      </w:pPr>
      <w:r w:rsidRPr="004C0FD0">
        <w:rPr>
          <w:b/>
          <w:sz w:val="24"/>
        </w:rPr>
        <w:t>Type:</w:t>
      </w:r>
      <w:r w:rsidRPr="004C0FD0">
        <w:rPr>
          <w:b/>
          <w:sz w:val="24"/>
        </w:rPr>
        <w:tab/>
        <w:t>Discussion</w:t>
      </w:r>
    </w:p>
    <w:p w14:paraId="3AD170E5" w14:textId="77777777" w:rsidR="00467D9C" w:rsidRPr="004C0FD0" w:rsidRDefault="00467D9C" w:rsidP="00467D9C">
      <w:pPr>
        <w:tabs>
          <w:tab w:val="left" w:pos="1800"/>
        </w:tabs>
        <w:spacing w:after="60"/>
        <w:rPr>
          <w:b/>
          <w:sz w:val="24"/>
        </w:rPr>
      </w:pPr>
      <w:r w:rsidRPr="004C0FD0">
        <w:rPr>
          <w:b/>
          <w:sz w:val="24"/>
        </w:rPr>
        <w:t>Document for:</w:t>
      </w:r>
      <w:r w:rsidRPr="004C0FD0">
        <w:rPr>
          <w:b/>
          <w:sz w:val="24"/>
        </w:rPr>
        <w:tab/>
        <w:t xml:space="preserve">Approval </w:t>
      </w:r>
    </w:p>
    <w:p w14:paraId="0FE4D33E" w14:textId="529E7B3B" w:rsidR="00467D9C" w:rsidRPr="004C0FD0" w:rsidRDefault="00467D9C" w:rsidP="00467D9C">
      <w:pPr>
        <w:tabs>
          <w:tab w:val="left" w:pos="1800"/>
        </w:tabs>
        <w:spacing w:after="60"/>
        <w:rPr>
          <w:rFonts w:ascii="Arial" w:eastAsia="Batang" w:hAnsi="Arial" w:cs="Arial"/>
          <w:b/>
          <w:lang w:eastAsia="zh-CN"/>
        </w:rPr>
      </w:pPr>
      <w:r w:rsidRPr="004C0FD0">
        <w:rPr>
          <w:b/>
          <w:sz w:val="24"/>
        </w:rPr>
        <w:t>Agenda Item:</w:t>
      </w:r>
      <w:r w:rsidRPr="004C0FD0">
        <w:rPr>
          <w:b/>
          <w:sz w:val="24"/>
        </w:rPr>
        <w:tab/>
      </w:r>
      <w:r w:rsidR="009A6384">
        <w:rPr>
          <w:b/>
          <w:sz w:val="24"/>
        </w:rPr>
        <w:t>7.2.5.1</w:t>
      </w:r>
    </w:p>
    <w:p w14:paraId="0C966988" w14:textId="178FD5A8" w:rsidR="00467D9C" w:rsidRPr="002B07F0" w:rsidRDefault="00467D9C" w:rsidP="00467D9C">
      <w:pPr>
        <w:tabs>
          <w:tab w:val="left" w:pos="1800"/>
        </w:tabs>
        <w:spacing w:after="60"/>
        <w:rPr>
          <w:b/>
          <w:sz w:val="24"/>
        </w:rPr>
      </w:pPr>
      <w:r w:rsidRPr="00542B6D">
        <w:rPr>
          <w:b/>
          <w:sz w:val="24"/>
        </w:rPr>
        <w:t xml:space="preserve">Study Item: </w:t>
      </w:r>
      <w:r w:rsidRPr="00542B6D">
        <w:rPr>
          <w:b/>
          <w:sz w:val="24"/>
        </w:rPr>
        <w:tab/>
        <w:t>FS_NR_NTN_solutions: Study on solutions for NR to support</w:t>
      </w:r>
      <w:r w:rsidR="002B07F0">
        <w:rPr>
          <w:b/>
          <w:sz w:val="24"/>
        </w:rPr>
        <w:t xml:space="preserve"> non-terrestrial networks (NTN)</w:t>
      </w:r>
    </w:p>
    <w:p w14:paraId="015B2DAC" w14:textId="60645BA7" w:rsidR="00467D9C" w:rsidRPr="008B4565" w:rsidRDefault="00467D9C"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sz w:val="36"/>
          <w:lang w:eastAsia="ja-JP"/>
        </w:rPr>
        <w:t>Introduction</w:t>
      </w:r>
    </w:p>
    <w:bookmarkEnd w:id="10"/>
    <w:bookmarkEnd w:id="11"/>
    <w:bookmarkEnd w:id="12"/>
    <w:p w14:paraId="08589AE0" w14:textId="316E5BB8" w:rsidR="00041A26" w:rsidRPr="00041A26" w:rsidRDefault="00041A26" w:rsidP="00AF6FB0">
      <w:pPr>
        <w:rPr>
          <w:i/>
          <w:lang w:val="en-GB"/>
        </w:rPr>
      </w:pPr>
      <w:r w:rsidRPr="00041A26">
        <w:rPr>
          <w:lang w:val="en-GB"/>
        </w:rPr>
        <w:t>In June 2018, the study item “Study on NR to support non-terrestrial networks” was completed. Potential impacts have been identified (see [1] for the full list) and solutions are currently investigated in the study item “Solutions on NR to support non-terrestrial networks”</w:t>
      </w:r>
      <w:r w:rsidR="00AA2AA5">
        <w:rPr>
          <w:lang w:val="en-GB"/>
        </w:rPr>
        <w:t>[</w:t>
      </w:r>
      <w:r w:rsidR="00AF0241">
        <w:rPr>
          <w:lang w:val="en-GB"/>
        </w:rPr>
        <w:t>2</w:t>
      </w:r>
      <w:r w:rsidR="00AA2AA5">
        <w:rPr>
          <w:lang w:val="en-GB"/>
        </w:rPr>
        <w:t>]</w:t>
      </w:r>
      <w:r w:rsidRPr="00041A26">
        <w:rPr>
          <w:lang w:val="en-GB"/>
        </w:rPr>
        <w:t xml:space="preserve">. </w:t>
      </w:r>
    </w:p>
    <w:p w14:paraId="1AAE26A6" w14:textId="79050545" w:rsidR="00E712C2" w:rsidRDefault="00E712C2" w:rsidP="00AF6FB0">
      <w:pPr>
        <w:rPr>
          <w:lang w:val="en-GB"/>
        </w:rPr>
      </w:pPr>
      <w:r>
        <w:rPr>
          <w:lang w:val="en-GB"/>
        </w:rPr>
        <w:t xml:space="preserve">During last 3GPP RAN WG1 meeting </w:t>
      </w:r>
      <w:r w:rsidR="00415E26">
        <w:rPr>
          <w:lang w:val="en-GB"/>
        </w:rPr>
        <w:t xml:space="preserve">in </w:t>
      </w:r>
      <w:r w:rsidR="00223FEB">
        <w:rPr>
          <w:lang w:val="en-GB"/>
        </w:rPr>
        <w:t>Prague</w:t>
      </w:r>
      <w:r>
        <w:rPr>
          <w:lang w:val="en-GB"/>
        </w:rPr>
        <w:t xml:space="preserve"> </w:t>
      </w:r>
      <w:r w:rsidR="00EC76AB">
        <w:rPr>
          <w:lang w:val="en-GB"/>
        </w:rPr>
        <w:t xml:space="preserve">the calibration </w:t>
      </w:r>
      <w:r w:rsidR="000C1E47">
        <w:rPr>
          <w:lang w:val="en-GB"/>
        </w:rPr>
        <w:t xml:space="preserve">and link budget </w:t>
      </w:r>
      <w:r w:rsidR="00EC76AB">
        <w:rPr>
          <w:lang w:val="en-GB"/>
        </w:rPr>
        <w:t>framework</w:t>
      </w:r>
      <w:r w:rsidR="00857338">
        <w:rPr>
          <w:lang w:val="en-GB"/>
        </w:rPr>
        <w:t xml:space="preserve"> for single satellite simulations</w:t>
      </w:r>
      <w:r w:rsidR="00EC76AB">
        <w:rPr>
          <w:lang w:val="en-GB"/>
        </w:rPr>
        <w:t xml:space="preserve"> has been </w:t>
      </w:r>
      <w:r w:rsidR="00223FEB">
        <w:rPr>
          <w:lang w:val="en-GB"/>
        </w:rPr>
        <w:t>successfully completed</w:t>
      </w:r>
      <w:r w:rsidR="00C12ECE">
        <w:rPr>
          <w:lang w:val="en-GB"/>
        </w:rPr>
        <w:t xml:space="preserve"> </w:t>
      </w:r>
      <w:r w:rsidR="009B76EE">
        <w:rPr>
          <w:lang w:val="en-GB"/>
        </w:rPr>
        <w:t xml:space="preserve">and </w:t>
      </w:r>
      <w:r w:rsidR="00C12ECE">
        <w:rPr>
          <w:lang w:val="en-GB"/>
        </w:rPr>
        <w:t>captured in</w:t>
      </w:r>
      <w:r w:rsidR="00C56FCA">
        <w:rPr>
          <w:lang w:val="en-GB"/>
        </w:rPr>
        <w:t xml:space="preserve"> </w:t>
      </w:r>
      <w:r w:rsidR="00225F3A">
        <w:rPr>
          <w:lang w:val="en-GB"/>
        </w:rPr>
        <w:t>[2] and [3]</w:t>
      </w:r>
      <w:r w:rsidR="0045063E">
        <w:rPr>
          <w:lang w:val="en-GB"/>
        </w:rPr>
        <w:t>.</w:t>
      </w:r>
    </w:p>
    <w:p w14:paraId="0C6B91D1" w14:textId="655A2C42" w:rsidR="005C660C" w:rsidRDefault="00041A26" w:rsidP="005C660C">
      <w:pPr>
        <w:rPr>
          <w:lang w:val="en-GB"/>
        </w:rPr>
      </w:pPr>
      <w:r>
        <w:rPr>
          <w:lang w:val="en-GB"/>
        </w:rPr>
        <w:t>T</w:t>
      </w:r>
      <w:r w:rsidR="00FA083F">
        <w:rPr>
          <w:lang w:val="en-GB"/>
        </w:rPr>
        <w:t xml:space="preserve">he first part of this </w:t>
      </w:r>
      <w:r w:rsidRPr="00041A26">
        <w:rPr>
          <w:lang w:val="en-GB"/>
        </w:rPr>
        <w:t xml:space="preserve">document </w:t>
      </w:r>
      <w:r w:rsidR="005342AA">
        <w:rPr>
          <w:lang w:val="en-GB"/>
        </w:rPr>
        <w:t>aims to</w:t>
      </w:r>
      <w:r w:rsidR="00FA083F">
        <w:rPr>
          <w:lang w:val="en-GB"/>
        </w:rPr>
        <w:t xml:space="preserve"> </w:t>
      </w:r>
      <w:r w:rsidR="00AE5189">
        <w:rPr>
          <w:lang w:val="en-GB"/>
        </w:rPr>
        <w:t>present</w:t>
      </w:r>
      <w:r w:rsidR="00FA083F">
        <w:rPr>
          <w:lang w:val="en-GB"/>
        </w:rPr>
        <w:t xml:space="preserve"> the </w:t>
      </w:r>
      <w:r w:rsidR="00AE5189">
        <w:rPr>
          <w:lang w:val="en-GB"/>
        </w:rPr>
        <w:t xml:space="preserve">results obtained for </w:t>
      </w:r>
      <w:r w:rsidR="00FA083F">
        <w:rPr>
          <w:lang w:val="en-GB"/>
        </w:rPr>
        <w:t xml:space="preserve">calibration. </w:t>
      </w:r>
      <w:r w:rsidR="008B78DA">
        <w:rPr>
          <w:lang w:val="en-GB"/>
        </w:rPr>
        <w:t>The seco</w:t>
      </w:r>
      <w:r w:rsidR="00AE5189">
        <w:rPr>
          <w:lang w:val="en-GB"/>
        </w:rPr>
        <w:t>nd part of the document presents</w:t>
      </w:r>
      <w:r w:rsidR="008B78DA">
        <w:rPr>
          <w:lang w:val="en-GB"/>
        </w:rPr>
        <w:t xml:space="preserve"> </w:t>
      </w:r>
      <w:r w:rsidR="00AE5189">
        <w:rPr>
          <w:lang w:val="en-GB"/>
        </w:rPr>
        <w:t>the link budget</w:t>
      </w:r>
      <w:r w:rsidR="00C14738">
        <w:rPr>
          <w:lang w:val="en-GB"/>
        </w:rPr>
        <w:t>s</w:t>
      </w:r>
      <w:r w:rsidR="00AE5189">
        <w:rPr>
          <w:lang w:val="en-GB"/>
        </w:rPr>
        <w:t xml:space="preserve"> analysis</w:t>
      </w:r>
      <w:r w:rsidR="00F55CD5">
        <w:rPr>
          <w:lang w:val="en-GB"/>
        </w:rPr>
        <w:t>.</w:t>
      </w:r>
    </w:p>
    <w:p w14:paraId="7F965347" w14:textId="77777777" w:rsidR="005C660C" w:rsidRDefault="005C660C">
      <w:pPr>
        <w:autoSpaceDE/>
        <w:autoSpaceDN/>
        <w:adjustRightInd/>
        <w:snapToGrid/>
        <w:spacing w:after="0"/>
        <w:jc w:val="left"/>
        <w:rPr>
          <w:lang w:val="en-GB"/>
        </w:rPr>
      </w:pPr>
      <w:r>
        <w:rPr>
          <w:lang w:val="en-GB"/>
        </w:rPr>
        <w:br w:type="page"/>
      </w:r>
    </w:p>
    <w:p w14:paraId="55E6DE98" w14:textId="6D621DFE" w:rsidR="00152952" w:rsidRDefault="00FC581B"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lastRenderedPageBreak/>
        <w:t xml:space="preserve">Second stage calibration </w:t>
      </w:r>
      <w:r w:rsidR="0049004F">
        <w:rPr>
          <w:rFonts w:ascii="Arial" w:eastAsia="MS Mincho" w:hAnsi="Arial" w:cs="Arial"/>
          <w:b w:val="0"/>
          <w:sz w:val="36"/>
          <w:lang w:eastAsia="ja-JP"/>
        </w:rPr>
        <w:t>results on downlink transmission</w:t>
      </w:r>
      <w:r>
        <w:rPr>
          <w:rFonts w:ascii="Arial" w:eastAsia="MS Mincho" w:hAnsi="Arial" w:cs="Arial"/>
          <w:b w:val="0"/>
          <w:sz w:val="36"/>
          <w:lang w:eastAsia="ja-JP"/>
        </w:rPr>
        <w:t>s</w:t>
      </w:r>
    </w:p>
    <w:p w14:paraId="171B0D73" w14:textId="2C0B99BE" w:rsidR="004965C0" w:rsidRDefault="005A312B" w:rsidP="005A312B">
      <w:pPr>
        <w:rPr>
          <w:lang w:eastAsia="ja-JP"/>
        </w:rPr>
      </w:pPr>
      <w:r>
        <w:rPr>
          <w:lang w:eastAsia="ja-JP"/>
        </w:rPr>
        <w:t xml:space="preserve">The </w:t>
      </w:r>
      <w:r w:rsidR="00732628">
        <w:rPr>
          <w:lang w:eastAsia="ja-JP"/>
        </w:rPr>
        <w:t xml:space="preserve">final </w:t>
      </w:r>
      <w:r>
        <w:rPr>
          <w:lang w:eastAsia="ja-JP"/>
        </w:rPr>
        <w:t>calibration results obtained for downlink transmissions have been computed for all the study cases identif</w:t>
      </w:r>
      <w:r w:rsidR="001E5AF7">
        <w:rPr>
          <w:lang w:eastAsia="ja-JP"/>
        </w:rPr>
        <w:t>ied as first and second priorities</w:t>
      </w:r>
      <w:r>
        <w:rPr>
          <w:lang w:eastAsia="ja-JP"/>
        </w:rPr>
        <w:t xml:space="preserve">. </w:t>
      </w:r>
      <w:r w:rsidRPr="00F17F85">
        <w:rPr>
          <w:lang w:eastAsia="ja-JP"/>
        </w:rPr>
        <w:t>The excel document</w:t>
      </w:r>
      <w:r w:rsidR="006836D3">
        <w:rPr>
          <w:lang w:eastAsia="ja-JP"/>
        </w:rPr>
        <w:t xml:space="preserve"> </w:t>
      </w:r>
      <w:r w:rsidR="00635A37" w:rsidRPr="00635A37">
        <w:rPr>
          <w:i/>
          <w:lang w:eastAsia="ja-JP"/>
        </w:rPr>
        <w:t>Stage</w:t>
      </w:r>
      <w:r w:rsidR="00635A37">
        <w:rPr>
          <w:i/>
          <w:lang w:eastAsia="ja-JP"/>
        </w:rPr>
        <w:t>_2_</w:t>
      </w:r>
      <w:r w:rsidR="00635A37">
        <w:rPr>
          <w:i/>
          <w:lang w:eastAsia="ja-JP"/>
        </w:rPr>
        <w:t>Calibration</w:t>
      </w:r>
      <w:r w:rsidR="00635A37">
        <w:rPr>
          <w:i/>
          <w:lang w:eastAsia="ja-JP"/>
        </w:rPr>
        <w:t>_Results_For_NTN.xlsx</w:t>
      </w:r>
      <w:r w:rsidR="00635A37">
        <w:rPr>
          <w:lang w:eastAsia="ja-JP"/>
        </w:rPr>
        <w:t xml:space="preserve"> </w:t>
      </w:r>
      <w:r w:rsidRPr="00F17F85">
        <w:rPr>
          <w:lang w:eastAsia="ja-JP"/>
        </w:rPr>
        <w:t xml:space="preserve">capturing these stage </w:t>
      </w:r>
      <w:r w:rsidR="006836D3">
        <w:rPr>
          <w:lang w:eastAsia="ja-JP"/>
        </w:rPr>
        <w:t>2</w:t>
      </w:r>
      <w:r w:rsidRPr="00F17F85">
        <w:rPr>
          <w:lang w:eastAsia="ja-JP"/>
        </w:rPr>
        <w:t xml:space="preserve"> calibration results has been attached with this file.</w:t>
      </w:r>
    </w:p>
    <w:p w14:paraId="04F49F6F" w14:textId="007E0007" w:rsidR="00844D05" w:rsidRDefault="00844D05" w:rsidP="005A312B">
      <w:pPr>
        <w:rPr>
          <w:lang w:eastAsia="ja-JP"/>
        </w:rPr>
      </w:pPr>
      <w:r>
        <w:rPr>
          <w:lang w:eastAsia="ja-JP"/>
        </w:rPr>
        <w:t xml:space="preserve">In particular, the following </w:t>
      </w:r>
      <w:r w:rsidR="007D79C3">
        <w:rPr>
          <w:lang w:eastAsia="ja-JP"/>
        </w:rPr>
        <w:t>recommendations</w:t>
      </w:r>
      <w:r>
        <w:rPr>
          <w:lang w:eastAsia="ja-JP"/>
        </w:rPr>
        <w:t xml:space="preserve"> have been addressed before running stage 2 calibration simulations :</w:t>
      </w:r>
    </w:p>
    <w:p w14:paraId="5AF5B6D0" w14:textId="5E926A30" w:rsidR="00844D05" w:rsidRDefault="00844D05" w:rsidP="00844D05">
      <w:pPr>
        <w:pStyle w:val="Paragraphedeliste"/>
        <w:numPr>
          <w:ilvl w:val="0"/>
          <w:numId w:val="24"/>
        </w:numPr>
        <w:rPr>
          <w:lang w:eastAsia="ja-JP"/>
        </w:rPr>
      </w:pPr>
      <w:r w:rsidRPr="00844D05">
        <w:rPr>
          <w:lang w:eastAsia="ja-JP"/>
        </w:rPr>
        <w:t xml:space="preserve">The simulation area associated to a given beam is </w:t>
      </w:r>
      <w:r w:rsidR="004242AA">
        <w:rPr>
          <w:lang w:eastAsia="ja-JP"/>
        </w:rPr>
        <w:t xml:space="preserve">now identified as </w:t>
      </w:r>
      <w:r w:rsidRPr="00844D05">
        <w:rPr>
          <w:lang w:eastAsia="ja-JP"/>
        </w:rPr>
        <w:t>the Voronoï cell defined by the centers of the neighboring beams.</w:t>
      </w:r>
    </w:p>
    <w:p w14:paraId="518C1A9A" w14:textId="2A988CCF" w:rsidR="003E4CF3" w:rsidRDefault="003E4CF3" w:rsidP="00844D05">
      <w:pPr>
        <w:pStyle w:val="Paragraphedeliste"/>
        <w:numPr>
          <w:ilvl w:val="0"/>
          <w:numId w:val="24"/>
        </w:numPr>
        <w:rPr>
          <w:lang w:eastAsia="ja-JP"/>
        </w:rPr>
      </w:pPr>
      <w:r>
        <w:rPr>
          <w:lang w:eastAsia="ja-JP"/>
        </w:rPr>
        <w:t xml:space="preserve">For handheld terminals, only one RX branch is considered for the SNIR calculation. It means that the potential recombination gain of 3 dB is not </w:t>
      </w:r>
      <w:r w:rsidR="006F1830">
        <w:rPr>
          <w:lang w:eastAsia="ja-JP"/>
        </w:rPr>
        <w:t>captured</w:t>
      </w:r>
      <w:r>
        <w:rPr>
          <w:lang w:eastAsia="ja-JP"/>
        </w:rPr>
        <w:t xml:space="preserve"> in the CDFs.</w:t>
      </w:r>
    </w:p>
    <w:p w14:paraId="50037716" w14:textId="1C7B35A4" w:rsidR="0074312A" w:rsidRDefault="0074312A" w:rsidP="00844D05">
      <w:pPr>
        <w:pStyle w:val="Paragraphedeliste"/>
        <w:numPr>
          <w:ilvl w:val="0"/>
          <w:numId w:val="24"/>
        </w:numPr>
        <w:rPr>
          <w:lang w:eastAsia="ja-JP"/>
        </w:rPr>
      </w:pPr>
      <w:r>
        <w:rPr>
          <w:lang w:eastAsia="ja-JP"/>
        </w:rPr>
        <w:t>The ionospheric scintillation losses are not considered.</w:t>
      </w:r>
    </w:p>
    <w:p w14:paraId="7CD3C99B" w14:textId="2EE63D7B" w:rsidR="007D79C3" w:rsidRDefault="007D79C3" w:rsidP="00844D05">
      <w:pPr>
        <w:pStyle w:val="Paragraphedeliste"/>
        <w:numPr>
          <w:ilvl w:val="0"/>
          <w:numId w:val="24"/>
        </w:numPr>
        <w:rPr>
          <w:lang w:eastAsia="ja-JP"/>
        </w:rPr>
      </w:pPr>
      <w:r>
        <w:rPr>
          <w:lang w:eastAsia="ja-JP"/>
        </w:rPr>
        <w:t>The atmospheric absorptions losses is considered.</w:t>
      </w:r>
    </w:p>
    <w:p w14:paraId="1F706CA2" w14:textId="66BE2A91" w:rsidR="009D1290" w:rsidRDefault="004965C0" w:rsidP="009D1290">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Second</w:t>
      </w:r>
      <w:r w:rsidR="009D1290">
        <w:rPr>
          <w:rFonts w:ascii="Arial" w:eastAsia="MS Mincho" w:hAnsi="Arial" w:cs="Arial"/>
          <w:b w:val="0"/>
          <w:sz w:val="36"/>
          <w:lang w:eastAsia="ja-JP"/>
        </w:rPr>
        <w:t xml:space="preserve"> stage calibration results </w:t>
      </w:r>
      <w:r>
        <w:rPr>
          <w:rFonts w:ascii="Arial" w:eastAsia="MS Mincho" w:hAnsi="Arial" w:cs="Arial"/>
          <w:b w:val="0"/>
          <w:sz w:val="36"/>
          <w:lang w:eastAsia="ja-JP"/>
        </w:rPr>
        <w:t>analysis</w:t>
      </w:r>
    </w:p>
    <w:p w14:paraId="4069635A" w14:textId="77777777" w:rsidR="008934F7" w:rsidRDefault="000A0EE1" w:rsidP="005A312B">
      <w:pPr>
        <w:rPr>
          <w:lang w:eastAsia="ja-JP"/>
        </w:rPr>
      </w:pPr>
      <w:r>
        <w:rPr>
          <w:lang w:eastAsia="ja-JP"/>
        </w:rPr>
        <w:t>When the frequency reuse factor is set to 1, the CIR observed values are quite low (approx. -1.1 dB @ 50%) w.r.t to CNR values. Therefore, the CINR values is almost entirely driven by the CIR values.</w:t>
      </w:r>
      <w:r w:rsidR="008934F7">
        <w:rPr>
          <w:lang w:eastAsia="ja-JP"/>
        </w:rPr>
        <w:t xml:space="preserve"> On the other hand, the available bandwidth per beam is maximal. </w:t>
      </w:r>
    </w:p>
    <w:p w14:paraId="25C3160D" w14:textId="13D45F2D" w:rsidR="00E06921" w:rsidRDefault="008934F7" w:rsidP="005A312B">
      <w:pPr>
        <w:rPr>
          <w:lang w:eastAsia="ja-JP"/>
        </w:rPr>
      </w:pPr>
      <w:r>
        <w:rPr>
          <w:lang w:eastAsia="ja-JP"/>
        </w:rPr>
        <w:t>When the frequency reuse factor is set to 3, the CIR observed values are much more higher (approx.. 9 dB @ 50%)</w:t>
      </w:r>
      <w:r w:rsidR="00E06921">
        <w:rPr>
          <w:lang w:eastAsia="ja-JP"/>
        </w:rPr>
        <w:t xml:space="preserve">. </w:t>
      </w:r>
      <w:r w:rsidR="00B83C4A">
        <w:rPr>
          <w:lang w:eastAsia="ja-JP"/>
        </w:rPr>
        <w:t>In some cases, these</w:t>
      </w:r>
      <w:r w:rsidR="00E06921">
        <w:rPr>
          <w:lang w:eastAsia="ja-JP"/>
        </w:rPr>
        <w:t xml:space="preserve"> CIR values are in the same order of magnitude</w:t>
      </w:r>
      <w:r w:rsidR="00A62C24">
        <w:rPr>
          <w:lang w:eastAsia="ja-JP"/>
        </w:rPr>
        <w:t xml:space="preserve"> </w:t>
      </w:r>
      <w:r w:rsidR="009056FE">
        <w:rPr>
          <w:lang w:eastAsia="ja-JP"/>
        </w:rPr>
        <w:t>than</w:t>
      </w:r>
      <w:r w:rsidR="00A62C24">
        <w:rPr>
          <w:lang w:eastAsia="ja-JP"/>
        </w:rPr>
        <w:t xml:space="preserve"> the CNR</w:t>
      </w:r>
      <w:r w:rsidR="009056FE">
        <w:rPr>
          <w:lang w:eastAsia="ja-JP"/>
        </w:rPr>
        <w:t xml:space="preserve"> </w:t>
      </w:r>
      <w:r w:rsidR="001B234C">
        <w:rPr>
          <w:lang w:eastAsia="ja-JP"/>
        </w:rPr>
        <w:t>values</w:t>
      </w:r>
      <w:r w:rsidR="00A62C24">
        <w:rPr>
          <w:lang w:eastAsia="ja-JP"/>
        </w:rPr>
        <w:t>. As a consequence, the CINR observed values are relatively high (</w:t>
      </w:r>
      <w:r w:rsidR="005A5FCE">
        <w:rPr>
          <w:lang w:eastAsia="ja-JP"/>
        </w:rPr>
        <w:t>e.g</w:t>
      </w:r>
      <w:r w:rsidR="00844FAB">
        <w:rPr>
          <w:lang w:eastAsia="ja-JP"/>
        </w:rPr>
        <w:t>.</w:t>
      </w:r>
      <w:r w:rsidR="005A5FCE">
        <w:rPr>
          <w:lang w:eastAsia="ja-JP"/>
        </w:rPr>
        <w:t xml:space="preserve"> </w:t>
      </w:r>
      <w:r w:rsidR="00A62C24">
        <w:rPr>
          <w:lang w:eastAsia="ja-JP"/>
        </w:rPr>
        <w:t xml:space="preserve"> 7.6 dB @ 50%  for study case 7 </w:t>
      </w:r>
      <w:r w:rsidR="00664DFB">
        <w:rPr>
          <w:lang w:eastAsia="ja-JP"/>
        </w:rPr>
        <w:t>–</w:t>
      </w:r>
      <w:r w:rsidR="0010122A">
        <w:rPr>
          <w:lang w:eastAsia="ja-JP"/>
        </w:rPr>
        <w:t xml:space="preserve"> </w:t>
      </w:r>
      <w:r w:rsidR="00A62C24">
        <w:rPr>
          <w:lang w:eastAsia="ja-JP"/>
        </w:rPr>
        <w:t>LEO</w:t>
      </w:r>
      <w:r w:rsidR="00664DFB">
        <w:rPr>
          <w:lang w:eastAsia="ja-JP"/>
        </w:rPr>
        <w:t>-600km</w:t>
      </w:r>
      <w:r w:rsidR="00A62C24">
        <w:rPr>
          <w:lang w:eastAsia="ja-JP"/>
        </w:rPr>
        <w:t xml:space="preserve"> in Ka</w:t>
      </w:r>
      <w:r w:rsidR="0010122A">
        <w:rPr>
          <w:lang w:eastAsia="ja-JP"/>
        </w:rPr>
        <w:t>-Band</w:t>
      </w:r>
      <w:r w:rsidR="00664DFB">
        <w:rPr>
          <w:lang w:eastAsia="ja-JP"/>
        </w:rPr>
        <w:t>, 7.47 dB @ 50% for study case 10 – LEO-600km in S-Band</w:t>
      </w:r>
      <w:r w:rsidR="00A62C24">
        <w:rPr>
          <w:lang w:eastAsia="ja-JP"/>
        </w:rPr>
        <w:t>)</w:t>
      </w:r>
      <w:r w:rsidR="00213C2A">
        <w:rPr>
          <w:lang w:eastAsia="ja-JP"/>
        </w:rPr>
        <w:t>.</w:t>
      </w:r>
      <w:r w:rsidR="00102613">
        <w:rPr>
          <w:lang w:eastAsia="ja-JP"/>
        </w:rPr>
        <w:t xml:space="preserve"> However,</w:t>
      </w:r>
      <w:r w:rsidR="00302203">
        <w:rPr>
          <w:lang w:eastAsia="ja-JP"/>
        </w:rPr>
        <w:t xml:space="preserve"> </w:t>
      </w:r>
      <w:r w:rsidR="00102613">
        <w:rPr>
          <w:lang w:eastAsia="ja-JP"/>
        </w:rPr>
        <w:t xml:space="preserve">the available bandwidth per beam is divided by </w:t>
      </w:r>
      <w:r w:rsidR="00C613AA">
        <w:rPr>
          <w:lang w:eastAsia="ja-JP"/>
        </w:rPr>
        <w:t xml:space="preserve">3 </w:t>
      </w:r>
      <w:r w:rsidR="00102613">
        <w:rPr>
          <w:lang w:eastAsia="ja-JP"/>
        </w:rPr>
        <w:t>in these conditions.</w:t>
      </w:r>
    </w:p>
    <w:p w14:paraId="6AB1D016" w14:textId="46C7AA52" w:rsidR="00E06921" w:rsidRDefault="001B234C" w:rsidP="005A312B">
      <w:pPr>
        <w:rPr>
          <w:lang w:eastAsia="ja-JP"/>
        </w:rPr>
      </w:pPr>
      <w:r>
        <w:rPr>
          <w:lang w:eastAsia="ja-JP"/>
        </w:rPr>
        <w:t>One could already feel that some trade-offs should be carried out before picking the right configuration in order to optimize the system capacity.</w:t>
      </w:r>
    </w:p>
    <w:p w14:paraId="2A287C6D" w14:textId="6741B106" w:rsidR="00E239FF" w:rsidRDefault="00E239FF" w:rsidP="005D4FF9">
      <w:pPr>
        <w:pStyle w:val="Observation"/>
      </w:pPr>
      <w:r>
        <w:t>Calibration results show that some trade-offs should be carried between the frequency reuse factor and the bandwidth available in order to optimize the system capacity.</w:t>
      </w:r>
    </w:p>
    <w:p w14:paraId="78A7193A" w14:textId="26449308" w:rsidR="000A0EE1" w:rsidRDefault="001B234C" w:rsidP="005A312B">
      <w:pPr>
        <w:rPr>
          <w:lang w:eastAsia="ja-JP"/>
        </w:rPr>
      </w:pPr>
      <w:r>
        <w:rPr>
          <w:lang w:eastAsia="ja-JP"/>
        </w:rPr>
        <w:t>One can go even further in the process.</w:t>
      </w:r>
      <w:r w:rsidR="008B0D53">
        <w:rPr>
          <w:lang w:eastAsia="ja-JP"/>
        </w:rPr>
        <w:t xml:space="preserve"> </w:t>
      </w:r>
      <w:r>
        <w:rPr>
          <w:lang w:eastAsia="ja-JP"/>
        </w:rPr>
        <w:t>T</w:t>
      </w:r>
      <w:r w:rsidR="008B0D53">
        <w:rPr>
          <w:lang w:eastAsia="ja-JP"/>
        </w:rPr>
        <w:t xml:space="preserve">he satellite design </w:t>
      </w:r>
      <w:r>
        <w:rPr>
          <w:lang w:eastAsia="ja-JP"/>
        </w:rPr>
        <w:t>can</w:t>
      </w:r>
      <w:r w:rsidR="008B0D53">
        <w:rPr>
          <w:lang w:eastAsia="ja-JP"/>
        </w:rPr>
        <w:t xml:space="preserve"> be adapted based on the observed results and the potential trade-off outputs.</w:t>
      </w:r>
      <w:r w:rsidR="00757653">
        <w:rPr>
          <w:lang w:eastAsia="ja-JP"/>
        </w:rPr>
        <w:t xml:space="preserve"> </w:t>
      </w:r>
      <w:r w:rsidR="00E06921">
        <w:rPr>
          <w:lang w:eastAsia="ja-JP"/>
        </w:rPr>
        <w:t>Tradi</w:t>
      </w:r>
      <w:r w:rsidR="006721A0">
        <w:rPr>
          <w:lang w:eastAsia="ja-JP"/>
        </w:rPr>
        <w:t>ti</w:t>
      </w:r>
      <w:r w:rsidR="00E06921">
        <w:rPr>
          <w:lang w:eastAsia="ja-JP"/>
        </w:rPr>
        <w:t xml:space="preserve">onally, </w:t>
      </w:r>
      <w:r w:rsidR="006721A0">
        <w:rPr>
          <w:lang w:eastAsia="ja-JP"/>
        </w:rPr>
        <w:t xml:space="preserve">a good approach </w:t>
      </w:r>
      <w:r w:rsidR="00EC29DA">
        <w:rPr>
          <w:lang w:eastAsia="ja-JP"/>
        </w:rPr>
        <w:t>can be</w:t>
      </w:r>
      <w:r w:rsidR="006721A0">
        <w:rPr>
          <w:lang w:eastAsia="ja-JP"/>
        </w:rPr>
        <w:t xml:space="preserve"> to balance the link budget such that CIR and CNR values are in the same order of magnitude.</w:t>
      </w:r>
      <w:r w:rsidR="006E59CA">
        <w:rPr>
          <w:lang w:eastAsia="ja-JP"/>
        </w:rPr>
        <w:t xml:space="preserve"> This can be done by :</w:t>
      </w:r>
    </w:p>
    <w:p w14:paraId="7B0EBE5D" w14:textId="3ACAABAE" w:rsidR="006E59CA" w:rsidRDefault="006E59CA" w:rsidP="006E59CA">
      <w:pPr>
        <w:pStyle w:val="Paragraphedeliste"/>
        <w:numPr>
          <w:ilvl w:val="0"/>
          <w:numId w:val="25"/>
        </w:numPr>
        <w:rPr>
          <w:lang w:eastAsia="ja-JP"/>
        </w:rPr>
      </w:pPr>
      <w:r>
        <w:rPr>
          <w:lang w:eastAsia="ja-JP"/>
        </w:rPr>
        <w:t>Revis</w:t>
      </w:r>
      <w:r w:rsidR="004307ED">
        <w:rPr>
          <w:lang w:eastAsia="ja-JP"/>
        </w:rPr>
        <w:t>i</w:t>
      </w:r>
      <w:r>
        <w:rPr>
          <w:lang w:eastAsia="ja-JP"/>
        </w:rPr>
        <w:t>ting the beam layout (ABS settings)</w:t>
      </w:r>
    </w:p>
    <w:p w14:paraId="64709D9B" w14:textId="67BA54F9" w:rsidR="0001137D" w:rsidRDefault="0001137D" w:rsidP="006E59CA">
      <w:pPr>
        <w:pStyle w:val="Paragraphedeliste"/>
        <w:numPr>
          <w:ilvl w:val="0"/>
          <w:numId w:val="25"/>
        </w:numPr>
        <w:rPr>
          <w:lang w:eastAsia="ja-JP"/>
        </w:rPr>
      </w:pPr>
      <w:r>
        <w:rPr>
          <w:lang w:eastAsia="ja-JP"/>
        </w:rPr>
        <w:t>Revisiting the satellite parameters (antenna size, satellite power, …)</w:t>
      </w:r>
    </w:p>
    <w:p w14:paraId="0E5FD72F" w14:textId="0A1D190C" w:rsidR="00B2754B" w:rsidRDefault="00B2754B" w:rsidP="006E59CA">
      <w:pPr>
        <w:pStyle w:val="Paragraphedeliste"/>
        <w:numPr>
          <w:ilvl w:val="0"/>
          <w:numId w:val="25"/>
        </w:numPr>
        <w:rPr>
          <w:lang w:eastAsia="ja-JP"/>
        </w:rPr>
      </w:pPr>
      <w:r>
        <w:rPr>
          <w:lang w:eastAsia="ja-JP"/>
        </w:rPr>
        <w:t>Revisiting t</w:t>
      </w:r>
      <w:r w:rsidR="0013799E">
        <w:rPr>
          <w:lang w:eastAsia="ja-JP"/>
        </w:rPr>
        <w:t>he system design (min elevation</w:t>
      </w:r>
      <w:r w:rsidR="007D5069">
        <w:rPr>
          <w:lang w:eastAsia="ja-JP"/>
        </w:rPr>
        <w:t xml:space="preserve"> angle</w:t>
      </w:r>
      <w:r w:rsidR="00426121">
        <w:rPr>
          <w:lang w:eastAsia="ja-JP"/>
        </w:rPr>
        <w:t>, constellation design update</w:t>
      </w:r>
      <w:r w:rsidR="0013799E">
        <w:rPr>
          <w:lang w:eastAsia="ja-JP"/>
        </w:rPr>
        <w:t>)</w:t>
      </w:r>
    </w:p>
    <w:p w14:paraId="36795954" w14:textId="1C819479" w:rsidR="005A312B" w:rsidRDefault="0052396F" w:rsidP="005A312B">
      <w:pPr>
        <w:rPr>
          <w:lang w:eastAsia="ja-JP"/>
        </w:rPr>
      </w:pPr>
      <w:r>
        <w:rPr>
          <w:lang w:eastAsia="ja-JP"/>
        </w:rPr>
        <w:t xml:space="preserve">One can </w:t>
      </w:r>
      <w:r w:rsidR="00D9585A">
        <w:rPr>
          <w:lang w:eastAsia="ja-JP"/>
        </w:rPr>
        <w:t>observe</w:t>
      </w:r>
      <w:r>
        <w:rPr>
          <w:lang w:eastAsia="ja-JP"/>
        </w:rPr>
        <w:t xml:space="preserve"> that the CNR values for study cases 4 and 5 (GEO in S-Band with handheld terminals) are quite low (e.g. 1dB @ 50 % for study case 5) despite the good satellite performances (large antenna, high on-board power). </w:t>
      </w:r>
      <w:r w:rsidR="00101189">
        <w:rPr>
          <w:lang w:eastAsia="ja-JP"/>
        </w:rPr>
        <w:t xml:space="preserve">Therefore, achieving high throughputs in these </w:t>
      </w:r>
      <w:r w:rsidR="000C35DE">
        <w:rPr>
          <w:lang w:eastAsia="ja-JP"/>
        </w:rPr>
        <w:t>conditions</w:t>
      </w:r>
      <w:r w:rsidR="00101189">
        <w:rPr>
          <w:lang w:eastAsia="ja-JP"/>
        </w:rPr>
        <w:t xml:space="preserve"> </w:t>
      </w:r>
      <w:r w:rsidR="001D41BB">
        <w:rPr>
          <w:lang w:eastAsia="ja-JP"/>
        </w:rPr>
        <w:t>may be more challenging</w:t>
      </w:r>
      <w:r w:rsidR="00501DE3">
        <w:rPr>
          <w:lang w:eastAsia="ja-JP"/>
        </w:rPr>
        <w:t xml:space="preserve"> since we are </w:t>
      </w:r>
      <w:r w:rsidR="00EF10D3">
        <w:rPr>
          <w:lang w:eastAsia="ja-JP"/>
        </w:rPr>
        <w:t>directly</w:t>
      </w:r>
      <w:r w:rsidR="00501DE3">
        <w:rPr>
          <w:lang w:eastAsia="ja-JP"/>
        </w:rPr>
        <w:t xml:space="preserve"> limited by the terminal</w:t>
      </w:r>
      <w:r w:rsidR="005F1C12">
        <w:rPr>
          <w:lang w:eastAsia="ja-JP"/>
        </w:rPr>
        <w:t>’s</w:t>
      </w:r>
      <w:r w:rsidR="00501DE3">
        <w:rPr>
          <w:lang w:eastAsia="ja-JP"/>
        </w:rPr>
        <w:t xml:space="preserve"> </w:t>
      </w:r>
      <w:r w:rsidR="0041309D">
        <w:rPr>
          <w:lang w:eastAsia="ja-JP"/>
        </w:rPr>
        <w:t xml:space="preserve">RF </w:t>
      </w:r>
      <w:r w:rsidR="00501DE3">
        <w:rPr>
          <w:lang w:eastAsia="ja-JP"/>
        </w:rPr>
        <w:t>capabilities</w:t>
      </w:r>
      <w:r w:rsidR="001D41BB">
        <w:rPr>
          <w:lang w:eastAsia="ja-JP"/>
        </w:rPr>
        <w:t>.</w:t>
      </w:r>
    </w:p>
    <w:p w14:paraId="164A08F3" w14:textId="71D37366" w:rsidR="00E239FF" w:rsidRDefault="00E239FF" w:rsidP="00E239FF">
      <w:pPr>
        <w:pStyle w:val="Observation"/>
      </w:pPr>
      <w:r>
        <w:t>For GEO</w:t>
      </w:r>
      <w:r w:rsidR="00E4275E">
        <w:t xml:space="preserve"> study cases</w:t>
      </w:r>
      <w:r w:rsidR="0006413A">
        <w:t xml:space="preserve"> in S-Band </w:t>
      </w:r>
      <w:r w:rsidR="00E4275E">
        <w:t>involving</w:t>
      </w:r>
      <w:r w:rsidR="0006413A">
        <w:t xml:space="preserve"> handheld terminals,</w:t>
      </w:r>
      <w:r w:rsidR="001C3CF1">
        <w:t xml:space="preserve"> throughput perform</w:t>
      </w:r>
      <w:r w:rsidR="001842B0">
        <w:t>ance is limited by the terminal</w:t>
      </w:r>
      <w:r w:rsidR="001C3CF1">
        <w:t>s</w:t>
      </w:r>
      <w:r w:rsidR="001842B0">
        <w:t>’</w:t>
      </w:r>
      <w:r w:rsidR="001C3CF1">
        <w:t xml:space="preserve"> RF capabilities</w:t>
      </w:r>
      <w:r w:rsidR="00942BED">
        <w:t>.</w:t>
      </w:r>
    </w:p>
    <w:p w14:paraId="4C0E292F" w14:textId="10666A2D" w:rsidR="009E7762" w:rsidRDefault="009E7762" w:rsidP="009E7762">
      <w:pPr>
        <w:pStyle w:val="Observation"/>
        <w:numPr>
          <w:ilvl w:val="0"/>
          <w:numId w:val="0"/>
        </w:numPr>
        <w:rPr>
          <w:rFonts w:ascii="Times New Roman" w:hAnsi="Times New Roman"/>
          <w:b w:val="0"/>
          <w:bCs w:val="0"/>
        </w:rPr>
      </w:pPr>
      <w:r>
        <w:rPr>
          <w:rFonts w:ascii="Times New Roman" w:hAnsi="Times New Roman"/>
          <w:b w:val="0"/>
          <w:bCs w:val="0"/>
        </w:rPr>
        <w:t xml:space="preserve">Finally, one should keep in mind that all the CNIR values provided for study cases involving handheld terminals can potentially be increased. This can be done thanks to </w:t>
      </w:r>
      <w:r w:rsidR="00552D17">
        <w:rPr>
          <w:rFonts w:ascii="Times New Roman" w:hAnsi="Times New Roman"/>
          <w:b w:val="0"/>
          <w:bCs w:val="0"/>
        </w:rPr>
        <w:t xml:space="preserve">the </w:t>
      </w:r>
      <w:r>
        <w:rPr>
          <w:rFonts w:ascii="Times New Roman" w:hAnsi="Times New Roman"/>
          <w:b w:val="0"/>
          <w:bCs w:val="0"/>
        </w:rPr>
        <w:t>coherent recombination of the signals received on the two separate RX branches of the terminal.</w:t>
      </w:r>
    </w:p>
    <w:p w14:paraId="0D270467" w14:textId="6053AE21" w:rsidR="009A302E" w:rsidRPr="009E7762" w:rsidRDefault="009A302E" w:rsidP="009A302E">
      <w:pPr>
        <w:pStyle w:val="Observation"/>
      </w:pPr>
      <w:r>
        <w:t xml:space="preserve">The calibration results </w:t>
      </w:r>
      <w:r w:rsidR="000A4E39">
        <w:t xml:space="preserve">are representative of the CINR experienced at the input of one </w:t>
      </w:r>
      <w:r w:rsidR="00370BF4">
        <w:t>RX branch</w:t>
      </w:r>
      <w:r w:rsidR="000A4E39">
        <w:t xml:space="preserve">. In other words, the </w:t>
      </w:r>
      <w:r w:rsidR="002348C7">
        <w:t xml:space="preserve">potential </w:t>
      </w:r>
      <w:r w:rsidR="000A4E39">
        <w:t xml:space="preserve">gain obtained after the coherent </w:t>
      </w:r>
      <w:r w:rsidR="000A4E39">
        <w:lastRenderedPageBreak/>
        <w:t xml:space="preserve">recombination of the </w:t>
      </w:r>
      <w:r w:rsidR="002348C7">
        <w:t>multiple</w:t>
      </w:r>
      <w:r w:rsidR="000A4E39">
        <w:t xml:space="preserve"> RX branches is not </w:t>
      </w:r>
      <w:r w:rsidR="00552D17">
        <w:t>taken into account in the</w:t>
      </w:r>
      <w:r w:rsidR="000A4E39">
        <w:t xml:space="preserve"> calibration results</w:t>
      </w:r>
      <w:r w:rsidR="00552D17">
        <w:t xml:space="preserve"> presented here</w:t>
      </w:r>
      <w:r w:rsidR="005D4FF9">
        <w:t>.</w:t>
      </w:r>
    </w:p>
    <w:p w14:paraId="13E730D1" w14:textId="6324C387" w:rsidR="00CC7C9F" w:rsidRDefault="00DD654C"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Link budget analysis</w:t>
      </w:r>
    </w:p>
    <w:p w14:paraId="5F68C99F" w14:textId="0907F384" w:rsidR="00294CC3" w:rsidRDefault="00294CC3" w:rsidP="00294CC3">
      <w:pPr>
        <w:rPr>
          <w:lang w:eastAsia="ja-JP"/>
        </w:rPr>
      </w:pPr>
      <w:r>
        <w:rPr>
          <w:lang w:eastAsia="ja-JP"/>
        </w:rPr>
        <w:t xml:space="preserve">The </w:t>
      </w:r>
      <w:r w:rsidR="007F5B68">
        <w:rPr>
          <w:lang w:eastAsia="ja-JP"/>
        </w:rPr>
        <w:t>link budget</w:t>
      </w:r>
      <w:r>
        <w:rPr>
          <w:lang w:eastAsia="ja-JP"/>
        </w:rPr>
        <w:t xml:space="preserve"> results obtained for downlink</w:t>
      </w:r>
      <w:r w:rsidR="004F15FE">
        <w:rPr>
          <w:lang w:eastAsia="ja-JP"/>
        </w:rPr>
        <w:t xml:space="preserve"> and uplink</w:t>
      </w:r>
      <w:r>
        <w:rPr>
          <w:lang w:eastAsia="ja-JP"/>
        </w:rPr>
        <w:t xml:space="preserve"> transmissions have been computed for all the study cases identified as first </w:t>
      </w:r>
      <w:r w:rsidR="00234712">
        <w:rPr>
          <w:lang w:eastAsia="ja-JP"/>
        </w:rPr>
        <w:t>priority</w:t>
      </w:r>
      <w:r>
        <w:rPr>
          <w:lang w:eastAsia="ja-JP"/>
        </w:rPr>
        <w:t xml:space="preserve">. </w:t>
      </w:r>
      <w:r w:rsidRPr="00F17F85">
        <w:rPr>
          <w:lang w:eastAsia="ja-JP"/>
        </w:rPr>
        <w:t>The excel document</w:t>
      </w:r>
      <w:r w:rsidR="00635A37">
        <w:rPr>
          <w:lang w:eastAsia="ja-JP"/>
        </w:rPr>
        <w:t xml:space="preserve"> </w:t>
      </w:r>
      <w:r w:rsidR="00635A37" w:rsidRPr="00635A37">
        <w:rPr>
          <w:i/>
          <w:lang w:eastAsia="ja-JP"/>
        </w:rPr>
        <w:t>Stage_</w:t>
      </w:r>
      <w:r w:rsidR="00635A37">
        <w:rPr>
          <w:i/>
          <w:lang w:eastAsia="ja-JP"/>
        </w:rPr>
        <w:t>2_Linkbudget_Results_For_NTN.xlsx</w:t>
      </w:r>
      <w:r>
        <w:rPr>
          <w:lang w:eastAsia="ja-JP"/>
        </w:rPr>
        <w:t xml:space="preserve"> </w:t>
      </w:r>
      <w:r w:rsidRPr="00F17F85">
        <w:rPr>
          <w:lang w:eastAsia="ja-JP"/>
        </w:rPr>
        <w:t xml:space="preserve">capturing these results has been </w:t>
      </w:r>
      <w:r w:rsidR="00CB6AB7">
        <w:rPr>
          <w:lang w:eastAsia="ja-JP"/>
        </w:rPr>
        <w:t xml:space="preserve">also </w:t>
      </w:r>
      <w:r w:rsidRPr="00F17F85">
        <w:rPr>
          <w:lang w:eastAsia="ja-JP"/>
        </w:rPr>
        <w:t>attached with this file.</w:t>
      </w:r>
    </w:p>
    <w:p w14:paraId="520BBC0A" w14:textId="320C2A96" w:rsidR="00294CC3" w:rsidRDefault="00294CC3" w:rsidP="00294CC3">
      <w:pPr>
        <w:rPr>
          <w:lang w:eastAsia="ja-JP"/>
        </w:rPr>
      </w:pPr>
      <w:r>
        <w:rPr>
          <w:lang w:eastAsia="ja-JP"/>
        </w:rPr>
        <w:t>In particular, the following recommendations have been addressed :</w:t>
      </w:r>
    </w:p>
    <w:p w14:paraId="2739BF53" w14:textId="1FB02F82" w:rsidR="00294CC3" w:rsidRDefault="00BE1EBA" w:rsidP="00294CC3">
      <w:pPr>
        <w:pStyle w:val="Paragraphedeliste"/>
        <w:numPr>
          <w:ilvl w:val="0"/>
          <w:numId w:val="24"/>
        </w:numPr>
        <w:rPr>
          <w:lang w:eastAsia="ja-JP"/>
        </w:rPr>
      </w:pPr>
      <w:r>
        <w:rPr>
          <w:lang w:eastAsia="ja-JP"/>
        </w:rPr>
        <w:t xml:space="preserve">The single system level calibration methodology is </w:t>
      </w:r>
      <w:r w:rsidR="007A32E1">
        <w:rPr>
          <w:lang w:eastAsia="ja-JP"/>
        </w:rPr>
        <w:t>considered</w:t>
      </w:r>
      <w:r>
        <w:rPr>
          <w:lang w:eastAsia="ja-JP"/>
        </w:rPr>
        <w:t xml:space="preserve"> assuming the link-budget parameters</w:t>
      </w:r>
      <w:r w:rsidR="007A32E1">
        <w:rPr>
          <w:lang w:eastAsia="ja-JP"/>
        </w:rPr>
        <w:t xml:space="preserve"> (</w:t>
      </w:r>
      <w:r w:rsidR="00E76B5B">
        <w:rPr>
          <w:lang w:eastAsia="ja-JP"/>
        </w:rPr>
        <w:t xml:space="preserve">i.e. </w:t>
      </w:r>
      <w:r w:rsidR="007A32E1">
        <w:rPr>
          <w:lang w:eastAsia="ja-JP"/>
        </w:rPr>
        <w:t>target elevation angle, bandwidth assumptions)</w:t>
      </w:r>
      <w:r>
        <w:rPr>
          <w:lang w:eastAsia="ja-JP"/>
        </w:rPr>
        <w:t>. Calibration results are o</w:t>
      </w:r>
      <w:r w:rsidR="00283EC6">
        <w:rPr>
          <w:lang w:eastAsia="ja-JP"/>
        </w:rPr>
        <w:t xml:space="preserve">btained for both UL and DL transmissions. </w:t>
      </w:r>
      <w:r w:rsidR="00294CC3" w:rsidRPr="00844D05">
        <w:rPr>
          <w:lang w:eastAsia="ja-JP"/>
        </w:rPr>
        <w:t xml:space="preserve">The </w:t>
      </w:r>
      <w:r w:rsidR="00E25257">
        <w:rPr>
          <w:lang w:eastAsia="ja-JP"/>
        </w:rPr>
        <w:t>CIR values</w:t>
      </w:r>
      <w:r w:rsidR="000D3FAE">
        <w:rPr>
          <w:lang w:eastAsia="ja-JP"/>
        </w:rPr>
        <w:t xml:space="preserve"> used for the link budget</w:t>
      </w:r>
      <w:r w:rsidR="00BE28BE">
        <w:rPr>
          <w:lang w:eastAsia="ja-JP"/>
        </w:rPr>
        <w:t xml:space="preserve"> calculations</w:t>
      </w:r>
      <w:r w:rsidR="00E25257">
        <w:rPr>
          <w:lang w:eastAsia="ja-JP"/>
        </w:rPr>
        <w:t xml:space="preserve"> are </w:t>
      </w:r>
      <w:r w:rsidR="000D3FAE">
        <w:rPr>
          <w:lang w:eastAsia="ja-JP"/>
        </w:rPr>
        <w:t xml:space="preserve">directly </w:t>
      </w:r>
      <w:r w:rsidR="00E25257">
        <w:rPr>
          <w:lang w:eastAsia="ja-JP"/>
        </w:rPr>
        <w:t xml:space="preserve">extracted </w:t>
      </w:r>
      <w:r w:rsidR="000D3FAE">
        <w:rPr>
          <w:lang w:eastAsia="ja-JP"/>
        </w:rPr>
        <w:t>from</w:t>
      </w:r>
      <w:r w:rsidR="00E25257">
        <w:rPr>
          <w:lang w:eastAsia="ja-JP"/>
        </w:rPr>
        <w:t xml:space="preserve"> </w:t>
      </w:r>
      <w:r w:rsidR="008409E7">
        <w:rPr>
          <w:lang w:eastAsia="ja-JP"/>
        </w:rPr>
        <w:t>these</w:t>
      </w:r>
      <w:r w:rsidR="00E25257">
        <w:rPr>
          <w:lang w:eastAsia="ja-JP"/>
        </w:rPr>
        <w:t xml:space="preserve"> results</w:t>
      </w:r>
      <w:r w:rsidR="00BE28BE">
        <w:rPr>
          <w:lang w:eastAsia="ja-JP"/>
        </w:rPr>
        <w:t xml:space="preserve">. </w:t>
      </w:r>
      <w:r w:rsidR="00D46C40">
        <w:rPr>
          <w:lang w:eastAsia="ja-JP"/>
        </w:rPr>
        <w:t>To be precise,</w:t>
      </w:r>
      <w:r w:rsidR="00BE28BE">
        <w:rPr>
          <w:lang w:eastAsia="ja-JP"/>
        </w:rPr>
        <w:t xml:space="preserve"> </w:t>
      </w:r>
      <w:r w:rsidR="008409E7">
        <w:rPr>
          <w:lang w:eastAsia="ja-JP"/>
        </w:rPr>
        <w:t>the</w:t>
      </w:r>
      <w:r w:rsidR="00416CD9">
        <w:rPr>
          <w:lang w:eastAsia="ja-JP"/>
        </w:rPr>
        <w:t xml:space="preserve"> </w:t>
      </w:r>
      <w:r w:rsidR="009354DA">
        <w:rPr>
          <w:lang w:eastAsia="ja-JP"/>
        </w:rPr>
        <w:t xml:space="preserve">statistical </w:t>
      </w:r>
      <w:r w:rsidR="00416CD9">
        <w:rPr>
          <w:lang w:eastAsia="ja-JP"/>
        </w:rPr>
        <w:t>mean</w:t>
      </w:r>
      <w:r w:rsidR="008409E7">
        <w:rPr>
          <w:lang w:eastAsia="ja-JP"/>
        </w:rPr>
        <w:t xml:space="preserve"> </w:t>
      </w:r>
      <w:r w:rsidR="00416CD9">
        <w:rPr>
          <w:lang w:eastAsia="ja-JP"/>
        </w:rPr>
        <w:t>CIR</w:t>
      </w:r>
      <w:r w:rsidR="008409E7">
        <w:rPr>
          <w:lang w:eastAsia="ja-JP"/>
        </w:rPr>
        <w:t xml:space="preserve"> </w:t>
      </w:r>
      <w:r w:rsidR="00AB18B9">
        <w:rPr>
          <w:lang w:eastAsia="ja-JP"/>
        </w:rPr>
        <w:t>computed</w:t>
      </w:r>
      <w:r w:rsidR="008409E7">
        <w:rPr>
          <w:lang w:eastAsia="ja-JP"/>
        </w:rPr>
        <w:t xml:space="preserve"> within</w:t>
      </w:r>
      <w:r w:rsidR="00E25257">
        <w:rPr>
          <w:lang w:eastAsia="ja-JP"/>
        </w:rPr>
        <w:t xml:space="preserve"> the central beam of the 19-beam layout</w:t>
      </w:r>
      <w:r w:rsidR="00981BA8">
        <w:rPr>
          <w:lang w:eastAsia="ja-JP"/>
        </w:rPr>
        <w:t xml:space="preserve"> is considered</w:t>
      </w:r>
      <w:r w:rsidR="00E25257">
        <w:rPr>
          <w:lang w:eastAsia="ja-JP"/>
        </w:rPr>
        <w:t>.</w:t>
      </w:r>
    </w:p>
    <w:p w14:paraId="6D6D9802" w14:textId="2B70E353" w:rsidR="00294CC3" w:rsidRDefault="00294CC3" w:rsidP="00294CC3">
      <w:pPr>
        <w:pStyle w:val="Paragraphedeliste"/>
        <w:numPr>
          <w:ilvl w:val="0"/>
          <w:numId w:val="24"/>
        </w:numPr>
        <w:rPr>
          <w:lang w:eastAsia="ja-JP"/>
        </w:rPr>
      </w:pPr>
      <w:r>
        <w:rPr>
          <w:lang w:eastAsia="ja-JP"/>
        </w:rPr>
        <w:t xml:space="preserve">For handheld terminals, only one RX branch is considered for the SNIR calculation. It means that the potential recombination gain of 3 dB is not captured in the </w:t>
      </w:r>
      <w:r w:rsidR="001B0A45">
        <w:rPr>
          <w:lang w:eastAsia="ja-JP"/>
        </w:rPr>
        <w:t>CNR values</w:t>
      </w:r>
      <w:r>
        <w:rPr>
          <w:lang w:eastAsia="ja-JP"/>
        </w:rPr>
        <w:t>.</w:t>
      </w:r>
    </w:p>
    <w:p w14:paraId="3EBA613B" w14:textId="71CAC239" w:rsidR="00F711BA" w:rsidRDefault="00294CC3" w:rsidP="00DF13E8">
      <w:pPr>
        <w:pStyle w:val="Paragraphedeliste"/>
        <w:numPr>
          <w:ilvl w:val="0"/>
          <w:numId w:val="24"/>
        </w:numPr>
        <w:rPr>
          <w:lang w:eastAsia="ja-JP"/>
        </w:rPr>
      </w:pPr>
      <w:r>
        <w:rPr>
          <w:lang w:eastAsia="ja-JP"/>
        </w:rPr>
        <w:t xml:space="preserve">The ionospheric scintillation losses are </w:t>
      </w:r>
      <w:r w:rsidR="00831553">
        <w:rPr>
          <w:lang w:eastAsia="ja-JP"/>
        </w:rPr>
        <w:t>fixed to 2.2 dB</w:t>
      </w:r>
      <w:r>
        <w:rPr>
          <w:lang w:eastAsia="ja-JP"/>
        </w:rPr>
        <w:t>.</w:t>
      </w:r>
    </w:p>
    <w:p w14:paraId="3BE265F3" w14:textId="7F8F6C58" w:rsidR="00904F0A" w:rsidRPr="00C43AAA" w:rsidRDefault="00F711BA" w:rsidP="00904F0A">
      <w:pPr>
        <w:pStyle w:val="Titre2"/>
      </w:pPr>
      <w:r>
        <w:t>Last considerations concerning link budget analysis assumptions :</w:t>
      </w:r>
    </w:p>
    <w:p w14:paraId="565C66E6" w14:textId="35B5FD49" w:rsidR="00697814" w:rsidRDefault="00E705C0" w:rsidP="00697814">
      <w:pPr>
        <w:pStyle w:val="Titre4"/>
        <w:numPr>
          <w:ilvl w:val="2"/>
          <w:numId w:val="14"/>
        </w:numPr>
      </w:pPr>
      <w:r>
        <w:t>“Boundless” Voronoi cells</w:t>
      </w:r>
    </w:p>
    <w:p w14:paraId="776DE634" w14:textId="2A5AC984" w:rsidR="00904F0A" w:rsidRDefault="003C28B7" w:rsidP="00904F0A">
      <w:pPr>
        <w:rPr>
          <w:lang w:val="en-GB" w:eastAsia="ja-JP"/>
        </w:rPr>
      </w:pPr>
      <w:r>
        <w:rPr>
          <w:lang w:val="en-GB" w:eastAsia="ja-JP"/>
        </w:rPr>
        <w:t>During last meeting, the two following agreements have been made :</w:t>
      </w:r>
    </w:p>
    <w:p w14:paraId="4F16CBF7" w14:textId="582AC1EE" w:rsidR="003C28B7" w:rsidRPr="00C43AAA" w:rsidRDefault="003C28B7" w:rsidP="00C43AAA">
      <w:pPr>
        <w:pStyle w:val="Paragraphedeliste"/>
        <w:numPr>
          <w:ilvl w:val="0"/>
          <w:numId w:val="28"/>
        </w:numPr>
        <w:rPr>
          <w:lang w:val="en-GB" w:eastAsia="ja-JP"/>
        </w:rPr>
      </w:pPr>
      <w:r w:rsidRPr="00E73256">
        <w:rPr>
          <w:highlight w:val="green"/>
          <w:lang w:val="en-GB" w:eastAsia="ja-JP"/>
        </w:rPr>
        <w:t>Agreement</w:t>
      </w:r>
      <w:r w:rsidR="00BB1FF2" w:rsidRPr="00E73256">
        <w:rPr>
          <w:highlight w:val="green"/>
          <w:lang w:val="en-GB" w:eastAsia="ja-JP"/>
        </w:rPr>
        <w:t xml:space="preserve"> #1</w:t>
      </w:r>
      <w:r w:rsidRPr="00C43AAA">
        <w:rPr>
          <w:lang w:val="en-GB" w:eastAsia="ja-JP"/>
        </w:rPr>
        <w:t xml:space="preserve"> : When the generated beam has a partial or full coverage outside the earth, it is discarded.</w:t>
      </w:r>
    </w:p>
    <w:p w14:paraId="6A55345B" w14:textId="2AA08342" w:rsidR="0007319A" w:rsidRPr="00C43AAA" w:rsidRDefault="0007319A" w:rsidP="00C43AAA">
      <w:pPr>
        <w:pStyle w:val="Paragraphedeliste"/>
        <w:numPr>
          <w:ilvl w:val="0"/>
          <w:numId w:val="28"/>
        </w:numPr>
        <w:rPr>
          <w:lang w:val="en-GB" w:eastAsia="ja-JP"/>
        </w:rPr>
      </w:pPr>
      <w:r w:rsidRPr="00E73256">
        <w:rPr>
          <w:highlight w:val="green"/>
          <w:lang w:val="en-GB" w:eastAsia="ja-JP"/>
        </w:rPr>
        <w:t>Agreement</w:t>
      </w:r>
      <w:r w:rsidR="00BB1FF2" w:rsidRPr="00E73256">
        <w:rPr>
          <w:highlight w:val="green"/>
          <w:lang w:val="en-GB" w:eastAsia="ja-JP"/>
        </w:rPr>
        <w:t xml:space="preserve"> #2</w:t>
      </w:r>
      <w:r w:rsidRPr="00C43AAA">
        <w:rPr>
          <w:lang w:val="en-GB" w:eastAsia="ja-JP"/>
        </w:rPr>
        <w:t xml:space="preserve"> : For uplink, the cell area associated to a given beam is defined as the Voronoi cell associated with the corresponding beam centers.</w:t>
      </w:r>
    </w:p>
    <w:p w14:paraId="00687EF3" w14:textId="3F1CF484" w:rsidR="003F20AB" w:rsidRDefault="00B70363" w:rsidP="0007319A">
      <w:pPr>
        <w:rPr>
          <w:lang w:val="en-GB" w:eastAsia="ja-JP"/>
        </w:rPr>
      </w:pPr>
      <w:r>
        <w:rPr>
          <w:lang w:val="en-GB" w:eastAsia="ja-JP"/>
        </w:rPr>
        <w:t>RAN1 WG should clarify</w:t>
      </w:r>
      <w:r w:rsidR="0007319A">
        <w:rPr>
          <w:lang w:val="en-GB" w:eastAsia="ja-JP"/>
        </w:rPr>
        <w:t xml:space="preserve"> what</w:t>
      </w:r>
      <w:r w:rsidR="00BB1FF2">
        <w:rPr>
          <w:lang w:val="en-GB" w:eastAsia="ja-JP"/>
        </w:rPr>
        <w:t xml:space="preserve"> is the </w:t>
      </w:r>
      <w:r w:rsidR="007E1FF1">
        <w:rPr>
          <w:lang w:val="en-GB" w:eastAsia="ja-JP"/>
        </w:rPr>
        <w:t xml:space="preserve">exact </w:t>
      </w:r>
      <w:r w:rsidR="00BB1FF2">
        <w:rPr>
          <w:lang w:val="en-GB" w:eastAsia="ja-JP"/>
        </w:rPr>
        <w:t xml:space="preserve">definition </w:t>
      </w:r>
      <w:r w:rsidR="00C43AAA">
        <w:rPr>
          <w:lang w:val="en-GB" w:eastAsia="ja-JP"/>
        </w:rPr>
        <w:t>of “</w:t>
      </w:r>
      <w:r w:rsidR="00BB1FF2">
        <w:rPr>
          <w:lang w:val="en-GB" w:eastAsia="ja-JP"/>
        </w:rPr>
        <w:t>beam coverage</w:t>
      </w:r>
      <w:r w:rsidR="00C43AAA">
        <w:rPr>
          <w:lang w:val="en-GB" w:eastAsia="ja-JP"/>
        </w:rPr>
        <w:t>”</w:t>
      </w:r>
      <w:r w:rsidR="00BB1FF2">
        <w:rPr>
          <w:lang w:val="en-GB" w:eastAsia="ja-JP"/>
        </w:rPr>
        <w:t xml:space="preserve"> to apply properly Agreement#1. </w:t>
      </w:r>
    </w:p>
    <w:p w14:paraId="24852273" w14:textId="1B903913" w:rsidR="00F03B65" w:rsidRDefault="00BB1FF2" w:rsidP="0007319A">
      <w:pPr>
        <w:rPr>
          <w:lang w:val="en-GB" w:eastAsia="ja-JP"/>
        </w:rPr>
      </w:pPr>
      <w:r>
        <w:rPr>
          <w:lang w:val="en-GB" w:eastAsia="ja-JP"/>
        </w:rPr>
        <w:t xml:space="preserve">In this paper, we </w:t>
      </w:r>
      <w:r w:rsidR="002A7558">
        <w:rPr>
          <w:lang w:val="en-GB" w:eastAsia="ja-JP"/>
        </w:rPr>
        <w:t>had consider</w:t>
      </w:r>
      <w:r w:rsidR="00251BEB">
        <w:rPr>
          <w:lang w:val="en-GB" w:eastAsia="ja-JP"/>
        </w:rPr>
        <w:t>ed</w:t>
      </w:r>
      <w:r w:rsidR="002A7558">
        <w:rPr>
          <w:lang w:val="en-GB" w:eastAsia="ja-JP"/>
        </w:rPr>
        <w:t xml:space="preserve"> that the “beam coverage” of Agreement #1 and </w:t>
      </w:r>
      <w:r w:rsidR="004724E3">
        <w:rPr>
          <w:lang w:val="en-GB" w:eastAsia="ja-JP"/>
        </w:rPr>
        <w:t xml:space="preserve">the </w:t>
      </w:r>
      <w:r w:rsidR="002A7558">
        <w:rPr>
          <w:lang w:val="en-GB" w:eastAsia="ja-JP"/>
        </w:rPr>
        <w:t>“cell area” of Agreement#2 refer to the same thing. As a consequence, if the Voronoi cell</w:t>
      </w:r>
      <w:r w:rsidR="008E4107">
        <w:rPr>
          <w:lang w:val="en-GB" w:eastAsia="ja-JP"/>
        </w:rPr>
        <w:t xml:space="preserve"> associated to a given beam</w:t>
      </w:r>
      <w:r w:rsidR="002A7558">
        <w:rPr>
          <w:lang w:val="en-GB" w:eastAsia="ja-JP"/>
        </w:rPr>
        <w:t xml:space="preserve"> is not properly defined (</w:t>
      </w:r>
      <w:r w:rsidR="008E4107">
        <w:rPr>
          <w:lang w:val="en-GB" w:eastAsia="ja-JP"/>
        </w:rPr>
        <w:t>i.e. if</w:t>
      </w:r>
      <w:r w:rsidR="002A7558">
        <w:rPr>
          <w:lang w:val="en-GB" w:eastAsia="ja-JP"/>
        </w:rPr>
        <w:t xml:space="preserve"> the neighbour beam centers </w:t>
      </w:r>
      <w:r w:rsidR="00DA436E">
        <w:rPr>
          <w:lang w:val="en-GB" w:eastAsia="ja-JP"/>
        </w:rPr>
        <w:t>cannot be</w:t>
      </w:r>
      <w:r w:rsidR="002A7558">
        <w:rPr>
          <w:lang w:val="en-GB" w:eastAsia="ja-JP"/>
        </w:rPr>
        <w:t xml:space="preserve"> defined)</w:t>
      </w:r>
      <w:r w:rsidR="00070614">
        <w:rPr>
          <w:lang w:val="en-GB" w:eastAsia="ja-JP"/>
        </w:rPr>
        <w:t xml:space="preserve"> then the beam is discarded.</w:t>
      </w:r>
      <w:r w:rsidR="00F03B65">
        <w:rPr>
          <w:lang w:val="en-GB" w:eastAsia="ja-JP"/>
        </w:rPr>
        <w:t xml:space="preserve"> If the </w:t>
      </w:r>
      <w:r w:rsidR="008A4CF9">
        <w:rPr>
          <w:lang w:val="en-GB" w:eastAsia="ja-JP"/>
        </w:rPr>
        <w:t>initial intent</w:t>
      </w:r>
      <w:r w:rsidR="00F03B65">
        <w:rPr>
          <w:lang w:val="en-GB" w:eastAsia="ja-JP"/>
        </w:rPr>
        <w:t xml:space="preserve"> was different, RAN1 </w:t>
      </w:r>
      <w:r w:rsidR="002F41A8">
        <w:rPr>
          <w:lang w:val="en-GB" w:eastAsia="ja-JP"/>
        </w:rPr>
        <w:t xml:space="preserve">WG </w:t>
      </w:r>
      <w:r w:rsidR="00F03B65">
        <w:rPr>
          <w:lang w:val="en-GB" w:eastAsia="ja-JP"/>
        </w:rPr>
        <w:t xml:space="preserve">should </w:t>
      </w:r>
      <w:r w:rsidR="00D175C5">
        <w:rPr>
          <w:lang w:val="en-GB" w:eastAsia="ja-JP"/>
        </w:rPr>
        <w:t>clarify</w:t>
      </w:r>
      <w:r w:rsidR="00F03B65">
        <w:rPr>
          <w:lang w:val="en-GB" w:eastAsia="ja-JP"/>
        </w:rPr>
        <w:t xml:space="preserve"> the procedure to decide </w:t>
      </w:r>
      <w:r w:rsidR="008A4CF9">
        <w:rPr>
          <w:lang w:val="en-GB" w:eastAsia="ja-JP"/>
        </w:rPr>
        <w:t>whether</w:t>
      </w:r>
      <w:r w:rsidR="00F03B65">
        <w:rPr>
          <w:lang w:val="en-GB" w:eastAsia="ja-JP"/>
        </w:rPr>
        <w:t xml:space="preserve"> a beam should be discarded or not.</w:t>
      </w:r>
    </w:p>
    <w:p w14:paraId="4262FB73" w14:textId="3B8F67EE" w:rsidR="0007319A" w:rsidRDefault="004D1FE7" w:rsidP="0007319A">
      <w:pPr>
        <w:rPr>
          <w:lang w:val="en-GB" w:eastAsia="ja-JP"/>
        </w:rPr>
      </w:pPr>
      <w:r>
        <w:rPr>
          <w:lang w:val="en-GB" w:eastAsia="ja-JP"/>
        </w:rPr>
        <w:t>If the disc</w:t>
      </w:r>
      <w:r w:rsidR="002D133B">
        <w:rPr>
          <w:lang w:val="en-GB" w:eastAsia="ja-JP"/>
        </w:rPr>
        <w:t>arding procedure is applied as above-mentioned</w:t>
      </w:r>
      <w:r w:rsidR="003F20AB">
        <w:rPr>
          <w:lang w:val="en-GB" w:eastAsia="ja-JP"/>
        </w:rPr>
        <w:t xml:space="preserve">, </w:t>
      </w:r>
      <w:r w:rsidR="002D133B">
        <w:rPr>
          <w:lang w:val="en-GB" w:eastAsia="ja-JP"/>
        </w:rPr>
        <w:t xml:space="preserve">then </w:t>
      </w:r>
      <w:r w:rsidR="003F20AB">
        <w:rPr>
          <w:lang w:val="en-GB" w:eastAsia="ja-JP"/>
        </w:rPr>
        <w:t xml:space="preserve">a </w:t>
      </w:r>
      <w:r w:rsidR="002C397F">
        <w:rPr>
          <w:lang w:val="en-GB" w:eastAsia="ja-JP"/>
        </w:rPr>
        <w:t>significant</w:t>
      </w:r>
      <w:r w:rsidR="003F20AB">
        <w:rPr>
          <w:lang w:val="en-GB" w:eastAsia="ja-JP"/>
        </w:rPr>
        <w:t xml:space="preserve"> number of beams </w:t>
      </w:r>
      <w:r w:rsidR="006127BD">
        <w:rPr>
          <w:lang w:val="en-GB" w:eastAsia="ja-JP"/>
        </w:rPr>
        <w:t>are</w:t>
      </w:r>
      <w:r w:rsidR="003F20AB">
        <w:rPr>
          <w:lang w:val="en-GB" w:eastAsia="ja-JP"/>
        </w:rPr>
        <w:t xml:space="preserve"> discarded for each </w:t>
      </w:r>
      <w:r w:rsidR="00C43AAA">
        <w:rPr>
          <w:lang w:val="en-GB" w:eastAsia="ja-JP"/>
        </w:rPr>
        <w:t>study case</w:t>
      </w:r>
      <w:r w:rsidR="001A1065">
        <w:rPr>
          <w:lang w:val="en-GB" w:eastAsia="ja-JP"/>
        </w:rPr>
        <w:t xml:space="preserve"> as illustrated in </w:t>
      </w:r>
      <w:r w:rsidR="001A1065">
        <w:rPr>
          <w:lang w:val="en-GB" w:eastAsia="ja-JP"/>
        </w:rPr>
        <w:fldChar w:fldCharType="begin"/>
      </w:r>
      <w:r w:rsidR="001A1065">
        <w:rPr>
          <w:lang w:val="en-GB" w:eastAsia="ja-JP"/>
        </w:rPr>
        <w:instrText xml:space="preserve"> REF _Ref20822982 \h </w:instrText>
      </w:r>
      <w:r w:rsidR="001A1065">
        <w:rPr>
          <w:lang w:val="en-GB" w:eastAsia="ja-JP"/>
        </w:rPr>
      </w:r>
      <w:r w:rsidR="001A1065">
        <w:rPr>
          <w:lang w:val="en-GB" w:eastAsia="ja-JP"/>
        </w:rPr>
        <w:fldChar w:fldCharType="separate"/>
      </w:r>
      <w:r w:rsidR="001A1065">
        <w:t xml:space="preserve">Figure </w:t>
      </w:r>
      <w:r w:rsidR="001A1065">
        <w:rPr>
          <w:noProof/>
        </w:rPr>
        <w:t>1</w:t>
      </w:r>
      <w:r w:rsidR="001A1065">
        <w:rPr>
          <w:lang w:val="en-GB" w:eastAsia="ja-JP"/>
        </w:rPr>
        <w:fldChar w:fldCharType="end"/>
      </w:r>
      <w:r w:rsidR="003F20AB">
        <w:rPr>
          <w:lang w:val="en-GB" w:eastAsia="ja-JP"/>
        </w:rPr>
        <w:t>.</w:t>
      </w:r>
    </w:p>
    <w:p w14:paraId="04220856" w14:textId="22B1DAC3" w:rsidR="003C4C6E" w:rsidRPr="003C4C6E" w:rsidRDefault="003C4C6E" w:rsidP="005D4FF9">
      <w:pPr>
        <w:pStyle w:val="Proposal"/>
        <w:rPr>
          <w:lang w:val="en-GB" w:eastAsia="ja-JP"/>
        </w:rPr>
      </w:pPr>
      <w:r>
        <w:rPr>
          <w:lang w:val="en-GB" w:eastAsia="ja-JP"/>
        </w:rPr>
        <w:t>RAN1 WG should clarify the procedure to decide whether a beam should be discarded or not.</w:t>
      </w:r>
      <w:r w:rsidR="00C5325B">
        <w:rPr>
          <w:lang w:val="en-GB" w:eastAsia="ja-JP"/>
        </w:rPr>
        <w:t xml:space="preserve"> In particular, it should be clarify if the beam is considered discarded when its Voronoï cell is not properly defined </w:t>
      </w:r>
      <w:r w:rsidR="00462D73">
        <w:rPr>
          <w:lang w:val="en-GB" w:eastAsia="ja-JP"/>
        </w:rPr>
        <w:t xml:space="preserve">(i.e. </w:t>
      </w:r>
      <w:r w:rsidR="00C5325B">
        <w:rPr>
          <w:lang w:val="en-GB" w:eastAsia="ja-JP"/>
        </w:rPr>
        <w:t>boundles</w:t>
      </w:r>
      <w:r w:rsidR="00076664">
        <w:rPr>
          <w:lang w:val="en-GB" w:eastAsia="ja-JP"/>
        </w:rPr>
        <w:t>s</w:t>
      </w:r>
      <w:r w:rsidR="00C5325B">
        <w:rPr>
          <w:lang w:val="en-GB" w:eastAsia="ja-JP"/>
        </w:rPr>
        <w:t>)</w:t>
      </w:r>
      <w:r w:rsidR="00B84B63">
        <w:rPr>
          <w:lang w:val="en-GB" w:eastAsia="ja-JP"/>
        </w:rPr>
        <w:t>.</w:t>
      </w:r>
    </w:p>
    <w:p w14:paraId="3CB133B2" w14:textId="320EC0C7" w:rsidR="003F20AB" w:rsidRDefault="003F20AB" w:rsidP="0007319A">
      <w:pPr>
        <w:rPr>
          <w:lang w:val="en-GB" w:eastAsia="ja-JP"/>
        </w:rPr>
      </w:pPr>
      <w:r>
        <w:rPr>
          <w:lang w:val="en-GB" w:eastAsia="ja-JP"/>
        </w:rPr>
        <w:t xml:space="preserve">Moreover, the target elevation angle for GEO in Ka Band </w:t>
      </w:r>
      <w:r w:rsidR="00E66D52">
        <w:rPr>
          <w:lang w:val="en-GB" w:eastAsia="ja-JP"/>
        </w:rPr>
        <w:t>must be increased</w:t>
      </w:r>
      <w:r w:rsidR="0032572C">
        <w:rPr>
          <w:lang w:val="en-GB" w:eastAsia="ja-JP"/>
        </w:rPr>
        <w:t xml:space="preserve"> so the Voronoi cell associated to the central beam</w:t>
      </w:r>
      <w:r w:rsidR="00A378C2">
        <w:rPr>
          <w:lang w:val="en-GB" w:eastAsia="ja-JP"/>
        </w:rPr>
        <w:t xml:space="preserve"> (i.e</w:t>
      </w:r>
      <w:r w:rsidR="004724E3">
        <w:rPr>
          <w:lang w:val="en-GB" w:eastAsia="ja-JP"/>
        </w:rPr>
        <w:t>.</w:t>
      </w:r>
      <w:r w:rsidR="00A378C2">
        <w:rPr>
          <w:lang w:val="en-GB" w:eastAsia="ja-JP"/>
        </w:rPr>
        <w:t xml:space="preserve"> the only beam of interest</w:t>
      </w:r>
      <w:r w:rsidR="00854F52">
        <w:rPr>
          <w:lang w:val="en-GB" w:eastAsia="ja-JP"/>
        </w:rPr>
        <w:t xml:space="preserve"> in this particular case</w:t>
      </w:r>
      <w:r w:rsidR="00A378C2">
        <w:rPr>
          <w:lang w:val="en-GB" w:eastAsia="ja-JP"/>
        </w:rPr>
        <w:t>)</w:t>
      </w:r>
      <w:r w:rsidR="0032572C">
        <w:rPr>
          <w:lang w:val="en-GB" w:eastAsia="ja-JP"/>
        </w:rPr>
        <w:t xml:space="preserve"> is properly defined.</w:t>
      </w:r>
      <w:r w:rsidR="009372AD">
        <w:rPr>
          <w:lang w:val="en-GB" w:eastAsia="ja-JP"/>
        </w:rPr>
        <w:t xml:space="preserve"> Therefore, for this scenario, the calibration is performed assuming a target elevation angle of 12.5 degrees.</w:t>
      </w:r>
      <w:r w:rsidR="00E33701">
        <w:rPr>
          <w:lang w:val="en-GB" w:eastAsia="ja-JP"/>
        </w:rPr>
        <w:t xml:space="preserve"> Note that this small increase of elevation</w:t>
      </w:r>
      <w:r w:rsidR="00D2268D">
        <w:rPr>
          <w:lang w:val="en-GB" w:eastAsia="ja-JP"/>
        </w:rPr>
        <w:t xml:space="preserve"> angle</w:t>
      </w:r>
      <w:r w:rsidR="00E33701">
        <w:rPr>
          <w:lang w:val="en-GB" w:eastAsia="ja-JP"/>
        </w:rPr>
        <w:t xml:space="preserve"> will not impact significantly the CIR sta</w:t>
      </w:r>
      <w:r w:rsidR="00112A85">
        <w:rPr>
          <w:lang w:val="en-GB" w:eastAsia="ja-JP"/>
        </w:rPr>
        <w:t>tistics within the central beam</w:t>
      </w:r>
      <w:r w:rsidR="00E33701">
        <w:rPr>
          <w:lang w:val="en-GB" w:eastAsia="ja-JP"/>
        </w:rPr>
        <w:t>.</w:t>
      </w:r>
    </w:p>
    <w:p w14:paraId="198F9C9B" w14:textId="493295A3" w:rsidR="007D1929" w:rsidRPr="003C4C6E" w:rsidRDefault="007D1929" w:rsidP="007D1929">
      <w:pPr>
        <w:pStyle w:val="Proposal"/>
        <w:rPr>
          <w:lang w:val="en-GB" w:eastAsia="ja-JP"/>
        </w:rPr>
      </w:pPr>
      <w:r>
        <w:rPr>
          <w:lang w:val="en-GB" w:eastAsia="ja-JP"/>
        </w:rPr>
        <w:t>RAN1 WG should</w:t>
      </w:r>
      <w:r w:rsidR="004A0E7D">
        <w:rPr>
          <w:lang w:val="en-GB" w:eastAsia="ja-JP"/>
        </w:rPr>
        <w:t xml:space="preserve"> clarify</w:t>
      </w:r>
      <w:r>
        <w:rPr>
          <w:lang w:val="en-GB" w:eastAsia="ja-JP"/>
        </w:rPr>
        <w:t xml:space="preserve"> what should be done when the Voronoi cell associated to the only beam of interest is not properly defined</w:t>
      </w:r>
      <w:r w:rsidR="00462D73">
        <w:rPr>
          <w:lang w:val="en-GB" w:eastAsia="ja-JP"/>
        </w:rPr>
        <w:t xml:space="preserve"> (i.e. boundless)</w:t>
      </w:r>
      <w:r>
        <w:rPr>
          <w:lang w:val="en-GB" w:eastAsia="ja-JP"/>
        </w:rPr>
        <w:t>.</w:t>
      </w:r>
    </w:p>
    <w:p w14:paraId="0D6C94A8" w14:textId="77777777" w:rsidR="007D1929" w:rsidRDefault="007D1929" w:rsidP="0007319A">
      <w:pPr>
        <w:rPr>
          <w:lang w:val="en-GB" w:eastAsia="ja-JP"/>
        </w:rPr>
      </w:pPr>
    </w:p>
    <w:p w14:paraId="5260B2F3" w14:textId="77777777" w:rsidR="00251BEB" w:rsidRDefault="00854F52" w:rsidP="00251BEB">
      <w:pPr>
        <w:keepNext/>
        <w:ind w:left="-907"/>
      </w:pPr>
      <w:r>
        <w:object w:dxaOrig="23437" w:dyaOrig="7322" w14:anchorId="716AE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1pt;height:180.3pt" o:ole="">
            <v:imagedata r:id="rId9" o:title=""/>
          </v:shape>
          <o:OLEObject Type="Embed" ProgID="Visio.Drawing.11" ShapeID="_x0000_i1025" DrawAspect="Content" ObjectID="_1631692548" r:id="rId10"/>
        </w:object>
      </w:r>
    </w:p>
    <w:p w14:paraId="392F78A6" w14:textId="0A153690" w:rsidR="00854F52" w:rsidRDefault="00251BEB" w:rsidP="00251BEB">
      <w:pPr>
        <w:pStyle w:val="Lgende"/>
        <w:jc w:val="center"/>
      </w:pPr>
      <w:bookmarkStart w:id="13" w:name="_Ref20822982"/>
      <w:r>
        <w:t xml:space="preserve">Figure </w:t>
      </w:r>
      <w:fldSimple w:instr=" SEQ Figure \* ARABIC ">
        <w:r>
          <w:rPr>
            <w:noProof/>
          </w:rPr>
          <w:t>1</w:t>
        </w:r>
      </w:fldSimple>
      <w:bookmarkEnd w:id="13"/>
      <w:r>
        <w:t xml:space="preserve"> : Illustration of the discarded beams</w:t>
      </w:r>
      <w:r w:rsidR="006D1987">
        <w:t xml:space="preserve"> (FRF &gt;1)</w:t>
      </w:r>
      <w:r>
        <w:t xml:space="preserve"> for the first priority study cases</w:t>
      </w:r>
    </w:p>
    <w:p w14:paraId="21C2B802" w14:textId="6A304684" w:rsidR="00E705C0" w:rsidRDefault="00E705C0" w:rsidP="00E705C0">
      <w:pPr>
        <w:pStyle w:val="Titre4"/>
        <w:numPr>
          <w:ilvl w:val="2"/>
          <w:numId w:val="14"/>
        </w:numPr>
      </w:pPr>
      <w:r>
        <w:t>Polarizat</w:t>
      </w:r>
      <w:r w:rsidR="005D4FF9">
        <w:t>ion loss and Handheld terminals</w:t>
      </w:r>
    </w:p>
    <w:p w14:paraId="742C28AF" w14:textId="2B6CB771" w:rsidR="00EA26E6" w:rsidRDefault="00EA26E6" w:rsidP="00EA26E6">
      <w:pPr>
        <w:rPr>
          <w:lang w:val="en-GB" w:eastAsia="ja-JP"/>
        </w:rPr>
      </w:pPr>
      <w:r>
        <w:rPr>
          <w:lang w:val="en-GB" w:eastAsia="ja-JP"/>
        </w:rPr>
        <w:t>From our understanding, the polarization loss should  be considered for both UL and DL</w:t>
      </w:r>
      <w:r w:rsidR="005D4FF9">
        <w:rPr>
          <w:lang w:val="en-GB" w:eastAsia="ja-JP"/>
        </w:rPr>
        <w:t xml:space="preserve"> when handheld terminals are involved</w:t>
      </w:r>
      <w:r>
        <w:rPr>
          <w:lang w:val="en-GB" w:eastAsia="ja-JP"/>
        </w:rPr>
        <w:t>.</w:t>
      </w:r>
    </w:p>
    <w:p w14:paraId="3E533795" w14:textId="431CC7BE" w:rsidR="005D4FF9" w:rsidRPr="005D4FF9" w:rsidRDefault="005D4FF9" w:rsidP="005D4FF9">
      <w:pPr>
        <w:pStyle w:val="Observation"/>
        <w:rPr>
          <w:lang w:val="en-GB"/>
        </w:rPr>
      </w:pPr>
      <w:r>
        <w:rPr>
          <w:lang w:val="en-GB"/>
        </w:rPr>
        <w:t>The polarization loss should be considered for both UL and DL when handheld terminals are involved</w:t>
      </w:r>
      <w:r w:rsidR="00EA26E6" w:rsidRPr="00EA26E6">
        <w:rPr>
          <w:lang w:val="en-GB"/>
        </w:rPr>
        <w:t>.</w:t>
      </w:r>
    </w:p>
    <w:p w14:paraId="48C57BBA" w14:textId="0D1304A2" w:rsidR="00DF40DD" w:rsidRDefault="00DF40DD" w:rsidP="007A5709">
      <w:pPr>
        <w:pStyle w:val="Titre2"/>
      </w:pPr>
      <w:r>
        <w:t>Link budget results</w:t>
      </w:r>
    </w:p>
    <w:p w14:paraId="03FBF05D" w14:textId="77777777" w:rsidR="00DF13E8" w:rsidRDefault="00DF13E8" w:rsidP="00DF13E8">
      <w:pPr>
        <w:rPr>
          <w:lang w:eastAsia="ja-JP"/>
        </w:rPr>
      </w:pPr>
      <w:r>
        <w:rPr>
          <w:lang w:eastAsia="ja-JP"/>
        </w:rPr>
        <w:t>The link budget outputs are CINR values. It should be noted that link budgets assumptions tend to be pessimistic. However, the CINR values proposed in this analysis are not representative of the worst-case scenarios.</w:t>
      </w:r>
    </w:p>
    <w:p w14:paraId="7340CAB7" w14:textId="77777777" w:rsidR="00DF13E8" w:rsidRDefault="00DF13E8" w:rsidP="00DF13E8">
      <w:pPr>
        <w:rPr>
          <w:lang w:eastAsia="ja-JP"/>
        </w:rPr>
      </w:pPr>
      <w:r w:rsidRPr="002F5597">
        <w:rPr>
          <w:u w:val="single"/>
          <w:lang w:eastAsia="ja-JP"/>
        </w:rPr>
        <w:t>Pessimistic assumptions</w:t>
      </w:r>
      <w:r>
        <w:rPr>
          <w:lang w:eastAsia="ja-JP"/>
        </w:rPr>
        <w:t xml:space="preserve"> :</w:t>
      </w:r>
    </w:p>
    <w:p w14:paraId="17ADD1C2" w14:textId="77777777" w:rsidR="00DF13E8" w:rsidRDefault="00DF13E8" w:rsidP="00DF13E8">
      <w:pPr>
        <w:pStyle w:val="Paragraphedeliste"/>
        <w:numPr>
          <w:ilvl w:val="0"/>
          <w:numId w:val="27"/>
        </w:numPr>
        <w:rPr>
          <w:lang w:eastAsia="ja-JP"/>
        </w:rPr>
      </w:pPr>
      <w:r>
        <w:rPr>
          <w:lang w:eastAsia="ja-JP"/>
        </w:rPr>
        <w:t xml:space="preserve">Small elevation angles are considered. Therefore, the free space loss values are pessimistic. </w:t>
      </w:r>
    </w:p>
    <w:p w14:paraId="0254BBF3" w14:textId="77777777" w:rsidR="00DF13E8" w:rsidRDefault="00DF13E8" w:rsidP="00DF13E8">
      <w:pPr>
        <w:pStyle w:val="Paragraphedeliste"/>
        <w:numPr>
          <w:ilvl w:val="0"/>
          <w:numId w:val="27"/>
        </w:numPr>
        <w:rPr>
          <w:lang w:eastAsia="ja-JP"/>
        </w:rPr>
      </w:pPr>
      <w:r>
        <w:rPr>
          <w:lang w:eastAsia="ja-JP"/>
        </w:rPr>
        <w:t>The value considered for ionospheric scintillation loss is very pessimistic.</w:t>
      </w:r>
    </w:p>
    <w:p w14:paraId="07BAFCCC" w14:textId="77777777" w:rsidR="00DF13E8" w:rsidRDefault="00DF13E8" w:rsidP="00DF13E8">
      <w:pPr>
        <w:pStyle w:val="Paragraphedeliste"/>
        <w:numPr>
          <w:ilvl w:val="0"/>
          <w:numId w:val="27"/>
        </w:numPr>
        <w:rPr>
          <w:lang w:eastAsia="ja-JP"/>
        </w:rPr>
      </w:pPr>
      <w:r>
        <w:rPr>
          <w:lang w:eastAsia="ja-JP"/>
        </w:rPr>
        <w:t>The value considered for shadow fading is quite pessimistic.</w:t>
      </w:r>
    </w:p>
    <w:p w14:paraId="2B80D556" w14:textId="697E4C53" w:rsidR="00DF13E8" w:rsidRDefault="00F711BA" w:rsidP="00DF13E8">
      <w:pPr>
        <w:rPr>
          <w:lang w:eastAsia="ja-JP"/>
        </w:rPr>
      </w:pPr>
      <w:r>
        <w:rPr>
          <w:u w:val="single"/>
          <w:lang w:eastAsia="ja-JP"/>
        </w:rPr>
        <w:t>Non-pessimistic</w:t>
      </w:r>
      <w:r w:rsidR="00DF13E8" w:rsidRPr="002F5597">
        <w:rPr>
          <w:u w:val="single"/>
          <w:lang w:eastAsia="ja-JP"/>
        </w:rPr>
        <w:t xml:space="preserve"> assumptions </w:t>
      </w:r>
      <w:r w:rsidR="00DF13E8">
        <w:rPr>
          <w:lang w:eastAsia="ja-JP"/>
        </w:rPr>
        <w:t>:</w:t>
      </w:r>
    </w:p>
    <w:p w14:paraId="088509B2" w14:textId="77777777" w:rsidR="00DF13E8" w:rsidRDefault="00DF13E8" w:rsidP="00DF13E8">
      <w:pPr>
        <w:pStyle w:val="Paragraphedeliste"/>
        <w:numPr>
          <w:ilvl w:val="0"/>
          <w:numId w:val="26"/>
        </w:numPr>
        <w:rPr>
          <w:lang w:eastAsia="ja-JP"/>
        </w:rPr>
      </w:pPr>
      <w:r>
        <w:rPr>
          <w:lang w:eastAsia="ja-JP"/>
        </w:rPr>
        <w:t>The terminal is located at the beam center. Therefore, the satellite antenna gain is maximal.</w:t>
      </w:r>
    </w:p>
    <w:p w14:paraId="72D1A480" w14:textId="77777777" w:rsidR="00DF13E8" w:rsidRDefault="00DF13E8" w:rsidP="00DF13E8">
      <w:pPr>
        <w:pStyle w:val="Paragraphedeliste"/>
        <w:numPr>
          <w:ilvl w:val="0"/>
          <w:numId w:val="26"/>
        </w:numPr>
        <w:rPr>
          <w:lang w:eastAsia="ja-JP"/>
        </w:rPr>
      </w:pPr>
      <w:r>
        <w:rPr>
          <w:lang w:eastAsia="ja-JP"/>
        </w:rPr>
        <w:t>Ideal tracking is assumed for the directive terminals (VSAT).</w:t>
      </w:r>
    </w:p>
    <w:p w14:paraId="6FA0B8D9" w14:textId="77777777" w:rsidR="00DF13E8" w:rsidRDefault="00DF13E8" w:rsidP="00DF13E8">
      <w:pPr>
        <w:pStyle w:val="Paragraphedeliste"/>
        <w:numPr>
          <w:ilvl w:val="0"/>
          <w:numId w:val="26"/>
        </w:numPr>
        <w:rPr>
          <w:lang w:eastAsia="ja-JP"/>
        </w:rPr>
      </w:pPr>
      <w:r>
        <w:rPr>
          <w:lang w:eastAsia="ja-JP"/>
        </w:rPr>
        <w:t>Line of sight conditions are assumed.</w:t>
      </w:r>
    </w:p>
    <w:p w14:paraId="771429CD" w14:textId="4687FFBF" w:rsidR="005572E2" w:rsidRDefault="00DF13E8" w:rsidP="001870A7">
      <w:pPr>
        <w:pStyle w:val="Paragraphedeliste"/>
        <w:numPr>
          <w:ilvl w:val="0"/>
          <w:numId w:val="26"/>
        </w:numPr>
        <w:rPr>
          <w:lang w:eastAsia="ja-JP"/>
        </w:rPr>
      </w:pPr>
      <w:r>
        <w:rPr>
          <w:lang w:eastAsia="ja-JP"/>
        </w:rPr>
        <w:t xml:space="preserve">Clear sky conditions </w:t>
      </w:r>
      <w:r w:rsidR="000A5AB1">
        <w:rPr>
          <w:lang w:eastAsia="ja-JP"/>
        </w:rPr>
        <w:t>are</w:t>
      </w:r>
      <w:r>
        <w:rPr>
          <w:lang w:eastAsia="ja-JP"/>
        </w:rPr>
        <w:t xml:space="preserve"> assumed. Therefore, the additional propagation losses and the G/T degradation due to the rain fading are not considered.</w:t>
      </w:r>
    </w:p>
    <w:p w14:paraId="4E287039" w14:textId="41DCEB73" w:rsidR="007012F4" w:rsidRDefault="007012F4" w:rsidP="001870A7">
      <w:pPr>
        <w:pStyle w:val="Paragraphedeliste"/>
        <w:numPr>
          <w:ilvl w:val="0"/>
          <w:numId w:val="26"/>
        </w:numPr>
        <w:rPr>
          <w:lang w:eastAsia="ja-JP"/>
        </w:rPr>
      </w:pPr>
      <w:r>
        <w:rPr>
          <w:lang w:eastAsia="ja-JP"/>
        </w:rPr>
        <w:t>The mean interference level is considered for CIR.</w:t>
      </w:r>
    </w:p>
    <w:p w14:paraId="7CFE7C8A" w14:textId="253BAD63" w:rsidR="00B83543" w:rsidRDefault="00B83543" w:rsidP="00B83543">
      <w:pPr>
        <w:pStyle w:val="Observation"/>
      </w:pPr>
      <w:r>
        <w:t xml:space="preserve">The CINR values </w:t>
      </w:r>
      <w:r w:rsidR="00013A05">
        <w:t xml:space="preserve">presented in </w:t>
      </w:r>
      <w:r>
        <w:t>the link budget analysis tends to be pessimistic but they are not representative of the worst case scenarios.</w:t>
      </w:r>
    </w:p>
    <w:p w14:paraId="19943DE0" w14:textId="5E6EB331" w:rsidR="005D4FF9" w:rsidRDefault="005D4FF9" w:rsidP="005D4FF9">
      <w:pPr>
        <w:rPr>
          <w:lang w:eastAsia="ja-JP"/>
        </w:rPr>
      </w:pPr>
      <w:r>
        <w:rPr>
          <w:lang w:eastAsia="ja-JP"/>
        </w:rPr>
        <w:t>Finall</w:t>
      </w:r>
      <w:r w:rsidR="00B83543">
        <w:rPr>
          <w:lang w:eastAsia="ja-JP"/>
        </w:rPr>
        <w:t xml:space="preserve">y, the </w:t>
      </w:r>
      <w:r w:rsidR="00013A05">
        <w:rPr>
          <w:lang w:eastAsia="ja-JP"/>
        </w:rPr>
        <w:t>observation</w:t>
      </w:r>
      <w:r w:rsidR="00B83543">
        <w:rPr>
          <w:lang w:eastAsia="ja-JP"/>
        </w:rPr>
        <w:t xml:space="preserve"> about the potential recombination gains hold</w:t>
      </w:r>
      <w:r w:rsidR="00013A05">
        <w:rPr>
          <w:lang w:eastAsia="ja-JP"/>
        </w:rPr>
        <w:t>s</w:t>
      </w:r>
      <w:r w:rsidR="00B83543">
        <w:rPr>
          <w:lang w:eastAsia="ja-JP"/>
        </w:rPr>
        <w:t xml:space="preserve"> for link budget results as well.</w:t>
      </w:r>
    </w:p>
    <w:p w14:paraId="20CA82DA" w14:textId="0D4D3C2B" w:rsidR="005D4FF9" w:rsidRDefault="005D4FF9" w:rsidP="005D4FF9">
      <w:pPr>
        <w:pStyle w:val="Observation"/>
      </w:pPr>
      <w:r>
        <w:t xml:space="preserve">The </w:t>
      </w:r>
      <w:r w:rsidR="00B83543">
        <w:t>link budget</w:t>
      </w:r>
      <w:r>
        <w:t xml:space="preserve"> results are representative of the CINR experienced at the input of one RX branch. In other words, the potential gain obtained after the coherent recombination of the multiple RX branches is not taken into account in the </w:t>
      </w:r>
      <w:r w:rsidR="00B83543">
        <w:t>ling budget</w:t>
      </w:r>
      <w:r>
        <w:t xml:space="preserve"> results presented here.</w:t>
      </w:r>
    </w:p>
    <w:p w14:paraId="4CBE6902" w14:textId="63ED2392" w:rsidR="001870A7" w:rsidRDefault="001870A7" w:rsidP="001870A7">
      <w:pPr>
        <w:pStyle w:val="Lgende"/>
        <w:keepNext/>
        <w:jc w:val="center"/>
      </w:pPr>
      <w:r>
        <w:t xml:space="preserve">Table </w:t>
      </w:r>
      <w:fldSimple w:instr=" SEQ Table \* ARABIC ">
        <w:r>
          <w:rPr>
            <w:noProof/>
          </w:rPr>
          <w:t>1</w:t>
        </w:r>
      </w:fldSimple>
      <w:r>
        <w:t xml:space="preserve"> : Link budget results</w:t>
      </w:r>
    </w:p>
    <w:tbl>
      <w:tblPr>
        <w:tblW w:w="9540" w:type="dxa"/>
        <w:tblInd w:w="93" w:type="dxa"/>
        <w:tblLook w:val="04A0" w:firstRow="1" w:lastRow="0" w:firstColumn="1" w:lastColumn="0" w:noHBand="0" w:noVBand="1"/>
      </w:tblPr>
      <w:tblGrid>
        <w:gridCol w:w="3660"/>
        <w:gridCol w:w="986"/>
        <w:gridCol w:w="986"/>
        <w:gridCol w:w="986"/>
        <w:gridCol w:w="986"/>
        <w:gridCol w:w="986"/>
        <w:gridCol w:w="986"/>
      </w:tblGrid>
      <w:tr w:rsidR="00697814" w:rsidRPr="00697814" w14:paraId="31CBCF84" w14:textId="77777777" w:rsidTr="00697814">
        <w:trPr>
          <w:trHeight w:val="315"/>
        </w:trPr>
        <w:tc>
          <w:tcPr>
            <w:tcW w:w="366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2932CFE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D5F84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4766DC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2</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E5F870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3</w:t>
            </w:r>
          </w:p>
        </w:tc>
      </w:tr>
      <w:tr w:rsidR="00697814" w:rsidRPr="00697814" w14:paraId="6314335C"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2E4C8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4DF8561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B0C50C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3282DB2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611D1A6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348A37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358FA75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r>
      <w:tr w:rsidR="00697814" w:rsidRPr="00697814" w14:paraId="07DD4325"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90340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lastRenderedPageBreak/>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2CCBF7B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7EBA21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5B722E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DC3C99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4B1AA55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845C68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r>
      <w:tr w:rsidR="00697814" w:rsidRPr="00697814" w14:paraId="090E2FE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E6594B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TX: EIRP density [dBW/MHz]</w:t>
            </w:r>
          </w:p>
        </w:tc>
        <w:tc>
          <w:tcPr>
            <w:tcW w:w="980" w:type="dxa"/>
            <w:tcBorders>
              <w:top w:val="nil"/>
              <w:left w:val="nil"/>
              <w:bottom w:val="single" w:sz="8" w:space="0" w:color="auto"/>
              <w:right w:val="single" w:sz="8" w:space="0" w:color="auto"/>
            </w:tcBorders>
            <w:shd w:val="clear" w:color="auto" w:fill="auto"/>
            <w:noWrap/>
            <w:vAlign w:val="center"/>
            <w:hideMark/>
          </w:tcPr>
          <w:p w14:paraId="2A072C1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w:t>
            </w:r>
          </w:p>
        </w:tc>
        <w:tc>
          <w:tcPr>
            <w:tcW w:w="980" w:type="dxa"/>
            <w:tcBorders>
              <w:top w:val="nil"/>
              <w:left w:val="nil"/>
              <w:bottom w:val="single" w:sz="8" w:space="0" w:color="auto"/>
              <w:right w:val="single" w:sz="8" w:space="0" w:color="auto"/>
            </w:tcBorders>
            <w:shd w:val="clear" w:color="auto" w:fill="auto"/>
            <w:noWrap/>
            <w:vAlign w:val="center"/>
            <w:hideMark/>
          </w:tcPr>
          <w:p w14:paraId="7034232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20,2</w:t>
            </w:r>
          </w:p>
        </w:tc>
        <w:tc>
          <w:tcPr>
            <w:tcW w:w="980" w:type="dxa"/>
            <w:tcBorders>
              <w:top w:val="nil"/>
              <w:left w:val="nil"/>
              <w:bottom w:val="single" w:sz="8" w:space="0" w:color="auto"/>
              <w:right w:val="single" w:sz="8" w:space="0" w:color="auto"/>
            </w:tcBorders>
            <w:shd w:val="clear" w:color="auto" w:fill="auto"/>
            <w:noWrap/>
            <w:vAlign w:val="center"/>
            <w:hideMark/>
          </w:tcPr>
          <w:p w14:paraId="1B34BDF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w:t>
            </w:r>
          </w:p>
        </w:tc>
        <w:tc>
          <w:tcPr>
            <w:tcW w:w="980" w:type="dxa"/>
            <w:tcBorders>
              <w:top w:val="nil"/>
              <w:left w:val="nil"/>
              <w:bottom w:val="single" w:sz="8" w:space="0" w:color="auto"/>
              <w:right w:val="single" w:sz="8" w:space="0" w:color="auto"/>
            </w:tcBorders>
            <w:shd w:val="clear" w:color="auto" w:fill="auto"/>
            <w:noWrap/>
            <w:vAlign w:val="center"/>
            <w:hideMark/>
          </w:tcPr>
          <w:p w14:paraId="5167CAA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25,0</w:t>
            </w:r>
          </w:p>
        </w:tc>
        <w:tc>
          <w:tcPr>
            <w:tcW w:w="980" w:type="dxa"/>
            <w:tcBorders>
              <w:top w:val="nil"/>
              <w:left w:val="nil"/>
              <w:bottom w:val="single" w:sz="8" w:space="0" w:color="auto"/>
              <w:right w:val="single" w:sz="8" w:space="0" w:color="auto"/>
            </w:tcBorders>
            <w:shd w:val="clear" w:color="auto" w:fill="auto"/>
            <w:noWrap/>
            <w:vAlign w:val="center"/>
            <w:hideMark/>
          </w:tcPr>
          <w:p w14:paraId="15D6251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w:t>
            </w:r>
          </w:p>
        </w:tc>
        <w:tc>
          <w:tcPr>
            <w:tcW w:w="980" w:type="dxa"/>
            <w:tcBorders>
              <w:top w:val="nil"/>
              <w:left w:val="nil"/>
              <w:bottom w:val="single" w:sz="8" w:space="0" w:color="auto"/>
              <w:right w:val="single" w:sz="8" w:space="0" w:color="auto"/>
            </w:tcBorders>
            <w:shd w:val="clear" w:color="auto" w:fill="auto"/>
            <w:noWrap/>
            <w:vAlign w:val="center"/>
            <w:hideMark/>
          </w:tcPr>
          <w:p w14:paraId="535899B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23,2</w:t>
            </w:r>
          </w:p>
        </w:tc>
      </w:tr>
      <w:tr w:rsidR="00697814" w:rsidRPr="00697814" w14:paraId="68A3DB9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050F87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3D5848D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7EEE491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167838A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1D21307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1D4CECA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2B1F3E4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28,0</w:t>
            </w:r>
          </w:p>
        </w:tc>
      </w:tr>
      <w:tr w:rsidR="00697814" w:rsidRPr="00697814" w14:paraId="58762216"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12C0E7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4234BB0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7BF90CA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1C66890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24A4AEA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5CCC60C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27AAA48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r>
      <w:tr w:rsidR="00697814" w:rsidRPr="00697814" w14:paraId="0EE8CC4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706806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5F79DF0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616D7B3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214,2</w:t>
            </w:r>
          </w:p>
        </w:tc>
        <w:tc>
          <w:tcPr>
            <w:tcW w:w="980" w:type="dxa"/>
            <w:tcBorders>
              <w:top w:val="nil"/>
              <w:left w:val="nil"/>
              <w:bottom w:val="single" w:sz="8" w:space="0" w:color="auto"/>
              <w:right w:val="single" w:sz="8" w:space="0" w:color="auto"/>
            </w:tcBorders>
            <w:shd w:val="clear" w:color="auto" w:fill="auto"/>
            <w:noWrap/>
            <w:vAlign w:val="center"/>
            <w:hideMark/>
          </w:tcPr>
          <w:p w14:paraId="401DA46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4C38198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214,2</w:t>
            </w:r>
          </w:p>
        </w:tc>
        <w:tc>
          <w:tcPr>
            <w:tcW w:w="980" w:type="dxa"/>
            <w:tcBorders>
              <w:top w:val="nil"/>
              <w:left w:val="nil"/>
              <w:bottom w:val="single" w:sz="8" w:space="0" w:color="auto"/>
              <w:right w:val="single" w:sz="8" w:space="0" w:color="auto"/>
            </w:tcBorders>
            <w:shd w:val="clear" w:color="auto" w:fill="auto"/>
            <w:noWrap/>
            <w:vAlign w:val="center"/>
            <w:hideMark/>
          </w:tcPr>
          <w:p w14:paraId="1F38D07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61A1954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214,2</w:t>
            </w:r>
          </w:p>
        </w:tc>
      </w:tr>
      <w:tr w:rsidR="00697814" w:rsidRPr="00697814" w14:paraId="3BC64D13"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3F10FC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21F69B7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0CB7B04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7DF156A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2E96F30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6FF5443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2F466CB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r>
      <w:tr w:rsidR="00697814" w:rsidRPr="00697814" w14:paraId="70FA431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187B78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0E97B56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D169BE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767362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D950BD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9F3641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9536FF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62DD9B1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BEDDC8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F32AA1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55B34BC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5A6E156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4C3939D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4A6D94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68E2E0F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r>
      <w:tr w:rsidR="00697814" w:rsidRPr="00697814" w14:paraId="21C3F0F0"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A933A4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D30E60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7F67C8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6133D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B2758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F776C4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381486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68D760B5"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4FEE64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71D5096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4D5DB7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B51C04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A4AE9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6EA78F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C30025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7E2C1E21"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9A5DF1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B6B447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11,2</w:t>
            </w:r>
          </w:p>
        </w:tc>
        <w:tc>
          <w:tcPr>
            <w:tcW w:w="980" w:type="dxa"/>
            <w:tcBorders>
              <w:top w:val="nil"/>
              <w:left w:val="nil"/>
              <w:bottom w:val="single" w:sz="8" w:space="0" w:color="auto"/>
              <w:right w:val="single" w:sz="8" w:space="0" w:color="auto"/>
            </w:tcBorders>
            <w:shd w:val="clear" w:color="auto" w:fill="auto"/>
            <w:noWrap/>
            <w:vAlign w:val="center"/>
            <w:hideMark/>
          </w:tcPr>
          <w:p w14:paraId="3D2DCF3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21741A5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11,2</w:t>
            </w:r>
          </w:p>
        </w:tc>
        <w:tc>
          <w:tcPr>
            <w:tcW w:w="980" w:type="dxa"/>
            <w:tcBorders>
              <w:top w:val="nil"/>
              <w:left w:val="nil"/>
              <w:bottom w:val="single" w:sz="8" w:space="0" w:color="auto"/>
              <w:right w:val="single" w:sz="8" w:space="0" w:color="auto"/>
            </w:tcBorders>
            <w:shd w:val="clear" w:color="auto" w:fill="auto"/>
            <w:noWrap/>
            <w:vAlign w:val="center"/>
            <w:hideMark/>
          </w:tcPr>
          <w:p w14:paraId="7E2485B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5,1</w:t>
            </w:r>
          </w:p>
        </w:tc>
        <w:tc>
          <w:tcPr>
            <w:tcW w:w="980" w:type="dxa"/>
            <w:tcBorders>
              <w:top w:val="nil"/>
              <w:left w:val="nil"/>
              <w:bottom w:val="single" w:sz="8" w:space="0" w:color="auto"/>
              <w:right w:val="single" w:sz="8" w:space="0" w:color="auto"/>
            </w:tcBorders>
            <w:shd w:val="clear" w:color="auto" w:fill="auto"/>
            <w:noWrap/>
            <w:vAlign w:val="center"/>
            <w:hideMark/>
          </w:tcPr>
          <w:p w14:paraId="5A2B1AE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11,2</w:t>
            </w:r>
          </w:p>
        </w:tc>
        <w:tc>
          <w:tcPr>
            <w:tcW w:w="980" w:type="dxa"/>
            <w:tcBorders>
              <w:top w:val="nil"/>
              <w:left w:val="nil"/>
              <w:bottom w:val="single" w:sz="8" w:space="0" w:color="auto"/>
              <w:right w:val="single" w:sz="8" w:space="0" w:color="auto"/>
            </w:tcBorders>
            <w:shd w:val="clear" w:color="auto" w:fill="auto"/>
            <w:noWrap/>
            <w:vAlign w:val="center"/>
            <w:hideMark/>
          </w:tcPr>
          <w:p w14:paraId="42B393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3,3</w:t>
            </w:r>
          </w:p>
        </w:tc>
      </w:tr>
      <w:tr w:rsidR="00697814" w:rsidRPr="00697814" w14:paraId="07FB87C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D8CCE2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1DCD72E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6DBCEAF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038E0B2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11,5</w:t>
            </w:r>
          </w:p>
        </w:tc>
        <w:tc>
          <w:tcPr>
            <w:tcW w:w="980" w:type="dxa"/>
            <w:tcBorders>
              <w:top w:val="nil"/>
              <w:left w:val="nil"/>
              <w:bottom w:val="single" w:sz="8" w:space="0" w:color="auto"/>
              <w:right w:val="single" w:sz="8" w:space="0" w:color="auto"/>
            </w:tcBorders>
            <w:shd w:val="clear" w:color="auto" w:fill="auto"/>
            <w:noWrap/>
            <w:vAlign w:val="center"/>
            <w:hideMark/>
          </w:tcPr>
          <w:p w14:paraId="7B4E845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10,3</w:t>
            </w:r>
          </w:p>
        </w:tc>
        <w:tc>
          <w:tcPr>
            <w:tcW w:w="980" w:type="dxa"/>
            <w:tcBorders>
              <w:top w:val="nil"/>
              <w:left w:val="nil"/>
              <w:bottom w:val="single" w:sz="8" w:space="0" w:color="auto"/>
              <w:right w:val="single" w:sz="8" w:space="0" w:color="auto"/>
            </w:tcBorders>
            <w:shd w:val="clear" w:color="auto" w:fill="auto"/>
            <w:noWrap/>
            <w:vAlign w:val="center"/>
            <w:hideMark/>
          </w:tcPr>
          <w:p w14:paraId="0E38387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12,0</w:t>
            </w:r>
          </w:p>
        </w:tc>
        <w:tc>
          <w:tcPr>
            <w:tcW w:w="980" w:type="dxa"/>
            <w:tcBorders>
              <w:top w:val="nil"/>
              <w:left w:val="nil"/>
              <w:bottom w:val="single" w:sz="8" w:space="0" w:color="auto"/>
              <w:right w:val="single" w:sz="8" w:space="0" w:color="auto"/>
            </w:tcBorders>
            <w:shd w:val="clear" w:color="auto" w:fill="auto"/>
            <w:noWrap/>
            <w:vAlign w:val="center"/>
            <w:hideMark/>
          </w:tcPr>
          <w:p w14:paraId="1DDB7A9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10,6</w:t>
            </w:r>
          </w:p>
        </w:tc>
      </w:tr>
      <w:tr w:rsidR="00697814" w:rsidRPr="00697814" w14:paraId="697B1D9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79537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127B879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280E956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-2,9</w:t>
            </w:r>
          </w:p>
        </w:tc>
        <w:tc>
          <w:tcPr>
            <w:tcW w:w="980" w:type="dxa"/>
            <w:tcBorders>
              <w:top w:val="nil"/>
              <w:left w:val="nil"/>
              <w:bottom w:val="single" w:sz="8" w:space="0" w:color="auto"/>
              <w:right w:val="single" w:sz="8" w:space="0" w:color="auto"/>
            </w:tcBorders>
            <w:shd w:val="clear" w:color="auto" w:fill="auto"/>
            <w:noWrap/>
            <w:vAlign w:val="center"/>
            <w:hideMark/>
          </w:tcPr>
          <w:p w14:paraId="5285BA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8,3</w:t>
            </w:r>
          </w:p>
        </w:tc>
        <w:tc>
          <w:tcPr>
            <w:tcW w:w="980" w:type="dxa"/>
            <w:tcBorders>
              <w:top w:val="nil"/>
              <w:left w:val="nil"/>
              <w:bottom w:val="single" w:sz="8" w:space="0" w:color="auto"/>
              <w:right w:val="single" w:sz="8" w:space="0" w:color="auto"/>
            </w:tcBorders>
            <w:shd w:val="clear" w:color="auto" w:fill="auto"/>
            <w:noWrap/>
            <w:vAlign w:val="center"/>
            <w:hideMark/>
          </w:tcPr>
          <w:p w14:paraId="6F4CC7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3,9</w:t>
            </w:r>
          </w:p>
        </w:tc>
        <w:tc>
          <w:tcPr>
            <w:tcW w:w="980" w:type="dxa"/>
            <w:tcBorders>
              <w:top w:val="nil"/>
              <w:left w:val="nil"/>
              <w:bottom w:val="single" w:sz="8" w:space="0" w:color="auto"/>
              <w:right w:val="single" w:sz="8" w:space="0" w:color="auto"/>
            </w:tcBorders>
            <w:shd w:val="clear" w:color="auto" w:fill="auto"/>
            <w:noWrap/>
            <w:vAlign w:val="center"/>
            <w:hideMark/>
          </w:tcPr>
          <w:p w14:paraId="6F81E74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8,6</w:t>
            </w:r>
          </w:p>
        </w:tc>
        <w:tc>
          <w:tcPr>
            <w:tcW w:w="980" w:type="dxa"/>
            <w:tcBorders>
              <w:top w:val="nil"/>
              <w:left w:val="nil"/>
              <w:bottom w:val="single" w:sz="8" w:space="0" w:color="auto"/>
              <w:right w:val="single" w:sz="8" w:space="0" w:color="auto"/>
            </w:tcBorders>
            <w:shd w:val="clear" w:color="auto" w:fill="auto"/>
            <w:noWrap/>
            <w:vAlign w:val="center"/>
            <w:hideMark/>
          </w:tcPr>
          <w:p w14:paraId="659392F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2,5</w:t>
            </w:r>
          </w:p>
        </w:tc>
      </w:tr>
      <w:tr w:rsidR="00697814" w:rsidRPr="00697814" w14:paraId="45780A05" w14:textId="77777777" w:rsidTr="00697814">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332C469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49BC81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757388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5</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81F57C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6</w:t>
            </w:r>
          </w:p>
        </w:tc>
      </w:tr>
      <w:tr w:rsidR="00697814" w:rsidRPr="00697814" w14:paraId="22BFF909"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92544A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5C75E3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1C750EA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51C03E3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71F8F2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70C2EC4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0F06E3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r>
      <w:tr w:rsidR="00697814" w:rsidRPr="00697814" w14:paraId="3F5ACF92"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9C1A0B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543E842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D607FD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A164E3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44C3D4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27AF726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10C3B74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r>
      <w:tr w:rsidR="00697814" w:rsidRPr="00697814" w14:paraId="6F82C8F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9D9F7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TX: EIRP density [dBW/MHz]</w:t>
            </w:r>
          </w:p>
        </w:tc>
        <w:tc>
          <w:tcPr>
            <w:tcW w:w="980" w:type="dxa"/>
            <w:tcBorders>
              <w:top w:val="nil"/>
              <w:left w:val="nil"/>
              <w:bottom w:val="single" w:sz="8" w:space="0" w:color="auto"/>
              <w:right w:val="single" w:sz="8" w:space="0" w:color="auto"/>
            </w:tcBorders>
            <w:shd w:val="clear" w:color="auto" w:fill="auto"/>
            <w:noWrap/>
            <w:vAlign w:val="center"/>
            <w:hideMark/>
          </w:tcPr>
          <w:p w14:paraId="59F4B1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59,0</w:t>
            </w:r>
          </w:p>
        </w:tc>
        <w:tc>
          <w:tcPr>
            <w:tcW w:w="980" w:type="dxa"/>
            <w:tcBorders>
              <w:top w:val="nil"/>
              <w:left w:val="nil"/>
              <w:bottom w:val="single" w:sz="8" w:space="0" w:color="auto"/>
              <w:right w:val="single" w:sz="8" w:space="0" w:color="auto"/>
            </w:tcBorders>
            <w:shd w:val="clear" w:color="auto" w:fill="auto"/>
            <w:noWrap/>
            <w:vAlign w:val="center"/>
            <w:hideMark/>
          </w:tcPr>
          <w:p w14:paraId="1B5CF7A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c>
          <w:tcPr>
            <w:tcW w:w="980" w:type="dxa"/>
            <w:tcBorders>
              <w:top w:val="nil"/>
              <w:left w:val="nil"/>
              <w:bottom w:val="single" w:sz="8" w:space="0" w:color="auto"/>
              <w:right w:val="single" w:sz="8" w:space="0" w:color="auto"/>
            </w:tcBorders>
            <w:shd w:val="clear" w:color="auto" w:fill="auto"/>
            <w:noWrap/>
            <w:vAlign w:val="center"/>
            <w:hideMark/>
          </w:tcPr>
          <w:p w14:paraId="589572B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59,0</w:t>
            </w:r>
          </w:p>
        </w:tc>
        <w:tc>
          <w:tcPr>
            <w:tcW w:w="980" w:type="dxa"/>
            <w:tcBorders>
              <w:top w:val="nil"/>
              <w:left w:val="nil"/>
              <w:bottom w:val="single" w:sz="8" w:space="0" w:color="auto"/>
              <w:right w:val="single" w:sz="8" w:space="0" w:color="auto"/>
            </w:tcBorders>
            <w:shd w:val="clear" w:color="auto" w:fill="auto"/>
            <w:noWrap/>
            <w:vAlign w:val="center"/>
            <w:hideMark/>
          </w:tcPr>
          <w:p w14:paraId="785FE24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c>
          <w:tcPr>
            <w:tcW w:w="980" w:type="dxa"/>
            <w:tcBorders>
              <w:top w:val="nil"/>
              <w:left w:val="nil"/>
              <w:bottom w:val="single" w:sz="8" w:space="0" w:color="auto"/>
              <w:right w:val="single" w:sz="8" w:space="0" w:color="auto"/>
            </w:tcBorders>
            <w:shd w:val="clear" w:color="auto" w:fill="auto"/>
            <w:noWrap/>
            <w:vAlign w:val="center"/>
            <w:hideMark/>
          </w:tcPr>
          <w:p w14:paraId="11779B6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w:t>
            </w:r>
          </w:p>
        </w:tc>
        <w:tc>
          <w:tcPr>
            <w:tcW w:w="980" w:type="dxa"/>
            <w:tcBorders>
              <w:top w:val="nil"/>
              <w:left w:val="nil"/>
              <w:bottom w:val="single" w:sz="8" w:space="0" w:color="auto"/>
              <w:right w:val="single" w:sz="8" w:space="0" w:color="auto"/>
            </w:tcBorders>
            <w:shd w:val="clear" w:color="auto" w:fill="auto"/>
            <w:noWrap/>
            <w:vAlign w:val="center"/>
            <w:hideMark/>
          </w:tcPr>
          <w:p w14:paraId="349266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20,2</w:t>
            </w:r>
          </w:p>
        </w:tc>
      </w:tr>
      <w:tr w:rsidR="00697814" w:rsidRPr="00697814" w14:paraId="0704843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764A12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3A86D43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61874E2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1ECD9BF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50E500E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7C5FDA1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043F2F4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r>
      <w:tr w:rsidR="00697814" w:rsidRPr="00697814" w14:paraId="7EA0C493"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351F7C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0A9B11B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A03687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6FCB153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5CF9A8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70B5FEB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10FABFE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r>
      <w:tr w:rsidR="00697814" w:rsidRPr="00697814" w14:paraId="66BAC56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8A23C6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02F5199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0FE2557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78F4CFB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62D2173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30D09FF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4E95DFE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182,6</w:t>
            </w:r>
          </w:p>
        </w:tc>
      </w:tr>
      <w:tr w:rsidR="00697814" w:rsidRPr="00697814" w14:paraId="16CF398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634EF1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57C629C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83E06B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2E93AC1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723E990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6812F6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0504737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r>
      <w:tr w:rsidR="00697814" w:rsidRPr="00697814" w14:paraId="052703A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6DFF0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7825B7B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A06FAF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8D6DB2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45A33A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205ECE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85D0F7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1353EFD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4C3D2B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777A7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345DC3A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C26CD9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47A99BA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50C53D4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39CD481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r>
      <w:tr w:rsidR="00697814" w:rsidRPr="00697814" w14:paraId="7D269E95"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6245E7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0C4831B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48A87F2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0322685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A0A7AE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F1A7F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6ACC5A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38AF06A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D9EA5F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5A5143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AA2F83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91979F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16A1D0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EE7826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281CD5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0476499C"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D9F072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48E2AF9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-2,9</w:t>
            </w:r>
          </w:p>
        </w:tc>
        <w:tc>
          <w:tcPr>
            <w:tcW w:w="980" w:type="dxa"/>
            <w:tcBorders>
              <w:top w:val="nil"/>
              <w:left w:val="nil"/>
              <w:bottom w:val="single" w:sz="8" w:space="0" w:color="auto"/>
              <w:right w:val="single" w:sz="8" w:space="0" w:color="auto"/>
            </w:tcBorders>
            <w:shd w:val="clear" w:color="auto" w:fill="auto"/>
            <w:noWrap/>
            <w:vAlign w:val="center"/>
            <w:hideMark/>
          </w:tcPr>
          <w:p w14:paraId="3B7661A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-13,9</w:t>
            </w:r>
          </w:p>
        </w:tc>
        <w:tc>
          <w:tcPr>
            <w:tcW w:w="980" w:type="dxa"/>
            <w:tcBorders>
              <w:top w:val="nil"/>
              <w:left w:val="nil"/>
              <w:bottom w:val="single" w:sz="8" w:space="0" w:color="auto"/>
              <w:right w:val="single" w:sz="8" w:space="0" w:color="auto"/>
            </w:tcBorders>
            <w:shd w:val="clear" w:color="auto" w:fill="auto"/>
            <w:noWrap/>
            <w:vAlign w:val="center"/>
            <w:hideMark/>
          </w:tcPr>
          <w:p w14:paraId="478D604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-2,9</w:t>
            </w:r>
          </w:p>
        </w:tc>
        <w:tc>
          <w:tcPr>
            <w:tcW w:w="980" w:type="dxa"/>
            <w:tcBorders>
              <w:top w:val="nil"/>
              <w:left w:val="nil"/>
              <w:bottom w:val="single" w:sz="8" w:space="0" w:color="auto"/>
              <w:right w:val="single" w:sz="8" w:space="0" w:color="auto"/>
            </w:tcBorders>
            <w:shd w:val="clear" w:color="auto" w:fill="auto"/>
            <w:noWrap/>
            <w:vAlign w:val="center"/>
            <w:hideMark/>
          </w:tcPr>
          <w:p w14:paraId="15B302A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-13,9</w:t>
            </w:r>
          </w:p>
        </w:tc>
        <w:tc>
          <w:tcPr>
            <w:tcW w:w="980" w:type="dxa"/>
            <w:tcBorders>
              <w:top w:val="nil"/>
              <w:left w:val="nil"/>
              <w:bottom w:val="single" w:sz="8" w:space="0" w:color="auto"/>
              <w:right w:val="single" w:sz="8" w:space="0" w:color="auto"/>
            </w:tcBorders>
            <w:shd w:val="clear" w:color="auto" w:fill="auto"/>
            <w:noWrap/>
            <w:vAlign w:val="center"/>
            <w:hideMark/>
          </w:tcPr>
          <w:p w14:paraId="0F7A3E8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7,5</w:t>
            </w:r>
          </w:p>
        </w:tc>
        <w:tc>
          <w:tcPr>
            <w:tcW w:w="980" w:type="dxa"/>
            <w:tcBorders>
              <w:top w:val="nil"/>
              <w:left w:val="nil"/>
              <w:bottom w:val="single" w:sz="8" w:space="0" w:color="auto"/>
              <w:right w:val="single" w:sz="8" w:space="0" w:color="auto"/>
            </w:tcBorders>
            <w:shd w:val="clear" w:color="auto" w:fill="auto"/>
            <w:noWrap/>
            <w:vAlign w:val="center"/>
            <w:hideMark/>
          </w:tcPr>
          <w:p w14:paraId="5FBD83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17,6</w:t>
            </w:r>
          </w:p>
        </w:tc>
      </w:tr>
      <w:tr w:rsidR="00697814" w:rsidRPr="00697814" w14:paraId="006D229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8F29BF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1E57539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172D918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4A35D10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0DA198B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0B6D93A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05C562D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r>
      <w:tr w:rsidR="00697814" w:rsidRPr="00697814" w14:paraId="6D94F3CA"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5D541A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1144064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79B26F3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4D60A5F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0FCC7FB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334BD6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w:t>
            </w:r>
          </w:p>
        </w:tc>
        <w:tc>
          <w:tcPr>
            <w:tcW w:w="980" w:type="dxa"/>
            <w:tcBorders>
              <w:top w:val="nil"/>
              <w:left w:val="nil"/>
              <w:bottom w:val="single" w:sz="8" w:space="0" w:color="auto"/>
              <w:right w:val="single" w:sz="8" w:space="0" w:color="auto"/>
            </w:tcBorders>
            <w:shd w:val="clear" w:color="auto" w:fill="auto"/>
            <w:noWrap/>
            <w:vAlign w:val="center"/>
            <w:hideMark/>
          </w:tcPr>
          <w:p w14:paraId="7F835D0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-1,4</w:t>
            </w:r>
          </w:p>
        </w:tc>
      </w:tr>
      <w:tr w:rsidR="00697814" w:rsidRPr="00697814" w14:paraId="4F6B3884" w14:textId="77777777" w:rsidTr="00697814">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06597E3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24B411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7</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C0C218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8</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86E6D7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9</w:t>
            </w:r>
          </w:p>
        </w:tc>
      </w:tr>
      <w:tr w:rsidR="00697814" w:rsidRPr="00697814" w14:paraId="5E18042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F63ED3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78FC82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1FE0EA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0A84128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7C694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683978A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FD65F6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r>
      <w:tr w:rsidR="00697814" w:rsidRPr="00697814" w14:paraId="0CF8A9AA"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65574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7CD19D8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1095050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3FEDE3C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448697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903C79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10CA3E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r>
      <w:tr w:rsidR="00697814" w:rsidRPr="00697814" w14:paraId="6FB3AC7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A91A30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TX: EIRP density [dBW/MHz]</w:t>
            </w:r>
          </w:p>
        </w:tc>
        <w:tc>
          <w:tcPr>
            <w:tcW w:w="980" w:type="dxa"/>
            <w:tcBorders>
              <w:top w:val="nil"/>
              <w:left w:val="nil"/>
              <w:bottom w:val="single" w:sz="8" w:space="0" w:color="auto"/>
              <w:right w:val="single" w:sz="8" w:space="0" w:color="auto"/>
            </w:tcBorders>
            <w:shd w:val="clear" w:color="auto" w:fill="auto"/>
            <w:noWrap/>
            <w:vAlign w:val="center"/>
            <w:hideMark/>
          </w:tcPr>
          <w:p w14:paraId="0027BC8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w:t>
            </w:r>
          </w:p>
        </w:tc>
        <w:tc>
          <w:tcPr>
            <w:tcW w:w="980" w:type="dxa"/>
            <w:tcBorders>
              <w:top w:val="nil"/>
              <w:left w:val="nil"/>
              <w:bottom w:val="single" w:sz="8" w:space="0" w:color="auto"/>
              <w:right w:val="single" w:sz="8" w:space="0" w:color="auto"/>
            </w:tcBorders>
            <w:shd w:val="clear" w:color="auto" w:fill="auto"/>
            <w:noWrap/>
            <w:vAlign w:val="center"/>
            <w:hideMark/>
          </w:tcPr>
          <w:p w14:paraId="0F77517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25,0</w:t>
            </w:r>
          </w:p>
        </w:tc>
        <w:tc>
          <w:tcPr>
            <w:tcW w:w="980" w:type="dxa"/>
            <w:tcBorders>
              <w:top w:val="nil"/>
              <w:left w:val="nil"/>
              <w:bottom w:val="single" w:sz="8" w:space="0" w:color="auto"/>
              <w:right w:val="single" w:sz="8" w:space="0" w:color="auto"/>
            </w:tcBorders>
            <w:shd w:val="clear" w:color="auto" w:fill="auto"/>
            <w:noWrap/>
            <w:vAlign w:val="center"/>
            <w:hideMark/>
          </w:tcPr>
          <w:p w14:paraId="6F7E243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w:t>
            </w:r>
          </w:p>
        </w:tc>
        <w:tc>
          <w:tcPr>
            <w:tcW w:w="980" w:type="dxa"/>
            <w:tcBorders>
              <w:top w:val="nil"/>
              <w:left w:val="nil"/>
              <w:bottom w:val="single" w:sz="8" w:space="0" w:color="auto"/>
              <w:right w:val="single" w:sz="8" w:space="0" w:color="auto"/>
            </w:tcBorders>
            <w:shd w:val="clear" w:color="auto" w:fill="auto"/>
            <w:noWrap/>
            <w:vAlign w:val="center"/>
            <w:hideMark/>
          </w:tcPr>
          <w:p w14:paraId="553F56B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23,2</w:t>
            </w:r>
          </w:p>
        </w:tc>
        <w:tc>
          <w:tcPr>
            <w:tcW w:w="980" w:type="dxa"/>
            <w:tcBorders>
              <w:top w:val="nil"/>
              <w:left w:val="nil"/>
              <w:bottom w:val="single" w:sz="8" w:space="0" w:color="auto"/>
              <w:right w:val="single" w:sz="8" w:space="0" w:color="auto"/>
            </w:tcBorders>
            <w:shd w:val="clear" w:color="auto" w:fill="auto"/>
            <w:noWrap/>
            <w:vAlign w:val="center"/>
            <w:hideMark/>
          </w:tcPr>
          <w:p w14:paraId="79EE20D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34,0</w:t>
            </w:r>
          </w:p>
        </w:tc>
        <w:tc>
          <w:tcPr>
            <w:tcW w:w="980" w:type="dxa"/>
            <w:tcBorders>
              <w:top w:val="nil"/>
              <w:left w:val="nil"/>
              <w:bottom w:val="single" w:sz="8" w:space="0" w:color="auto"/>
              <w:right w:val="single" w:sz="8" w:space="0" w:color="auto"/>
            </w:tcBorders>
            <w:shd w:val="clear" w:color="auto" w:fill="auto"/>
            <w:noWrap/>
            <w:vAlign w:val="center"/>
            <w:hideMark/>
          </w:tcPr>
          <w:p w14:paraId="3F6DBB3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r>
      <w:tr w:rsidR="00697814" w:rsidRPr="00697814" w14:paraId="1B63AE51"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EBD3E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242E199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1799992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7A95C72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F054C4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94B187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00F6E96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r>
      <w:tr w:rsidR="00697814" w:rsidRPr="00697814" w14:paraId="3821B05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2313D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0EBE2B1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3086ED4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4349051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635651A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018824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EE952F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r>
      <w:tr w:rsidR="00697814" w:rsidRPr="00697814" w14:paraId="54CA63E5"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F77E02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34DE7E5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56A1074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7AA1E3F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2FB2A5F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7396A41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7522D82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159,1</w:t>
            </w:r>
          </w:p>
        </w:tc>
      </w:tr>
      <w:tr w:rsidR="00697814" w:rsidRPr="00697814" w14:paraId="318E2B26"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36736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599F3B6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4CB6AF6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17745C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661D239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06EB6CF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10C0050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r>
      <w:tr w:rsidR="00697814" w:rsidRPr="00697814" w14:paraId="529EA6B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61A147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218FF3E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A8C69C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7C33CC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8007D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5CF3F7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0AC214A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r>
      <w:tr w:rsidR="00697814" w:rsidRPr="00697814" w14:paraId="50D943A1"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B6E1A0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39E9B28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5727DB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244CE64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352B697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D78F59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47328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r>
      <w:tr w:rsidR="00697814" w:rsidRPr="00697814" w14:paraId="7E1518F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A0445F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0FBE8D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B208C7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AB8D36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F93A0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D7535F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4A521F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r>
      <w:tr w:rsidR="00697814" w:rsidRPr="00697814" w14:paraId="3DB1E7F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A6C58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799E828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101693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E2EB22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0758B7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873188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281193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3E2BBA61"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D1DC2E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29CB0AA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7,5</w:t>
            </w:r>
          </w:p>
        </w:tc>
        <w:tc>
          <w:tcPr>
            <w:tcW w:w="980" w:type="dxa"/>
            <w:tcBorders>
              <w:top w:val="nil"/>
              <w:left w:val="nil"/>
              <w:bottom w:val="single" w:sz="8" w:space="0" w:color="auto"/>
              <w:right w:val="single" w:sz="8" w:space="0" w:color="auto"/>
            </w:tcBorders>
            <w:shd w:val="clear" w:color="auto" w:fill="auto"/>
            <w:noWrap/>
            <w:vAlign w:val="center"/>
            <w:hideMark/>
          </w:tcPr>
          <w:p w14:paraId="6D63C64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22,4</w:t>
            </w:r>
          </w:p>
        </w:tc>
        <w:tc>
          <w:tcPr>
            <w:tcW w:w="980" w:type="dxa"/>
            <w:tcBorders>
              <w:top w:val="nil"/>
              <w:left w:val="nil"/>
              <w:bottom w:val="single" w:sz="8" w:space="0" w:color="auto"/>
              <w:right w:val="single" w:sz="8" w:space="0" w:color="auto"/>
            </w:tcBorders>
            <w:shd w:val="clear" w:color="auto" w:fill="auto"/>
            <w:noWrap/>
            <w:vAlign w:val="center"/>
            <w:hideMark/>
          </w:tcPr>
          <w:p w14:paraId="27BACBC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7,5</w:t>
            </w:r>
          </w:p>
        </w:tc>
        <w:tc>
          <w:tcPr>
            <w:tcW w:w="980" w:type="dxa"/>
            <w:tcBorders>
              <w:top w:val="nil"/>
              <w:left w:val="nil"/>
              <w:bottom w:val="single" w:sz="8" w:space="0" w:color="auto"/>
              <w:right w:val="single" w:sz="8" w:space="0" w:color="auto"/>
            </w:tcBorders>
            <w:shd w:val="clear" w:color="auto" w:fill="auto"/>
            <w:noWrap/>
            <w:vAlign w:val="center"/>
            <w:hideMark/>
          </w:tcPr>
          <w:p w14:paraId="4427F19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20,6</w:t>
            </w:r>
          </w:p>
        </w:tc>
        <w:tc>
          <w:tcPr>
            <w:tcW w:w="980" w:type="dxa"/>
            <w:tcBorders>
              <w:top w:val="nil"/>
              <w:left w:val="nil"/>
              <w:bottom w:val="single" w:sz="8" w:space="0" w:color="auto"/>
              <w:right w:val="single" w:sz="8" w:space="0" w:color="auto"/>
            </w:tcBorders>
            <w:shd w:val="clear" w:color="auto" w:fill="auto"/>
            <w:noWrap/>
            <w:vAlign w:val="center"/>
            <w:hideMark/>
          </w:tcPr>
          <w:p w14:paraId="4B6C5AC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3,6</w:t>
            </w:r>
          </w:p>
        </w:tc>
        <w:tc>
          <w:tcPr>
            <w:tcW w:w="980" w:type="dxa"/>
            <w:tcBorders>
              <w:top w:val="nil"/>
              <w:left w:val="nil"/>
              <w:bottom w:val="single" w:sz="8" w:space="0" w:color="auto"/>
              <w:right w:val="single" w:sz="8" w:space="0" w:color="auto"/>
            </w:tcBorders>
            <w:shd w:val="clear" w:color="auto" w:fill="auto"/>
            <w:noWrap/>
            <w:vAlign w:val="center"/>
            <w:hideMark/>
          </w:tcPr>
          <w:p w14:paraId="16E3D9E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-0,2</w:t>
            </w:r>
          </w:p>
        </w:tc>
      </w:tr>
      <w:tr w:rsidR="00697814" w:rsidRPr="00697814" w14:paraId="7860FCA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E99E2F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60A4313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9,0</w:t>
            </w:r>
          </w:p>
        </w:tc>
        <w:tc>
          <w:tcPr>
            <w:tcW w:w="980" w:type="dxa"/>
            <w:tcBorders>
              <w:top w:val="nil"/>
              <w:left w:val="nil"/>
              <w:bottom w:val="single" w:sz="8" w:space="0" w:color="auto"/>
              <w:right w:val="single" w:sz="8" w:space="0" w:color="auto"/>
            </w:tcBorders>
            <w:shd w:val="clear" w:color="auto" w:fill="auto"/>
            <w:noWrap/>
            <w:vAlign w:val="center"/>
            <w:hideMark/>
          </w:tcPr>
          <w:p w14:paraId="1601A40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8,4</w:t>
            </w:r>
          </w:p>
        </w:tc>
        <w:tc>
          <w:tcPr>
            <w:tcW w:w="980" w:type="dxa"/>
            <w:tcBorders>
              <w:top w:val="nil"/>
              <w:left w:val="nil"/>
              <w:bottom w:val="single" w:sz="8" w:space="0" w:color="auto"/>
              <w:right w:val="single" w:sz="8" w:space="0" w:color="auto"/>
            </w:tcBorders>
            <w:shd w:val="clear" w:color="auto" w:fill="auto"/>
            <w:noWrap/>
            <w:vAlign w:val="center"/>
            <w:hideMark/>
          </w:tcPr>
          <w:p w14:paraId="57FED3E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9,8</w:t>
            </w:r>
          </w:p>
        </w:tc>
        <w:tc>
          <w:tcPr>
            <w:tcW w:w="980" w:type="dxa"/>
            <w:tcBorders>
              <w:top w:val="nil"/>
              <w:left w:val="nil"/>
              <w:bottom w:val="single" w:sz="8" w:space="0" w:color="auto"/>
              <w:right w:val="single" w:sz="8" w:space="0" w:color="auto"/>
            </w:tcBorders>
            <w:shd w:val="clear" w:color="auto" w:fill="auto"/>
            <w:noWrap/>
            <w:vAlign w:val="center"/>
            <w:hideMark/>
          </w:tcPr>
          <w:p w14:paraId="6614D8B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9,4</w:t>
            </w:r>
          </w:p>
        </w:tc>
        <w:tc>
          <w:tcPr>
            <w:tcW w:w="980" w:type="dxa"/>
            <w:tcBorders>
              <w:top w:val="nil"/>
              <w:left w:val="nil"/>
              <w:bottom w:val="single" w:sz="8" w:space="0" w:color="auto"/>
              <w:right w:val="single" w:sz="8" w:space="0" w:color="auto"/>
            </w:tcBorders>
            <w:shd w:val="clear" w:color="auto" w:fill="auto"/>
            <w:noWrap/>
            <w:vAlign w:val="center"/>
            <w:hideMark/>
          </w:tcPr>
          <w:p w14:paraId="48CB492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-0,8</w:t>
            </w:r>
          </w:p>
        </w:tc>
        <w:tc>
          <w:tcPr>
            <w:tcW w:w="980" w:type="dxa"/>
            <w:tcBorders>
              <w:top w:val="nil"/>
              <w:left w:val="nil"/>
              <w:bottom w:val="single" w:sz="8" w:space="0" w:color="auto"/>
              <w:right w:val="single" w:sz="8" w:space="0" w:color="auto"/>
            </w:tcBorders>
            <w:shd w:val="clear" w:color="auto" w:fill="auto"/>
            <w:noWrap/>
            <w:vAlign w:val="center"/>
            <w:hideMark/>
          </w:tcPr>
          <w:p w14:paraId="39C291D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-1,4</w:t>
            </w:r>
          </w:p>
        </w:tc>
      </w:tr>
      <w:tr w:rsidR="00697814" w:rsidRPr="00697814" w14:paraId="02E34803"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BC98AE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lastRenderedPageBreak/>
              <w:t>CINR [dB]</w:t>
            </w:r>
          </w:p>
        </w:tc>
        <w:tc>
          <w:tcPr>
            <w:tcW w:w="980" w:type="dxa"/>
            <w:tcBorders>
              <w:top w:val="nil"/>
              <w:left w:val="nil"/>
              <w:bottom w:val="single" w:sz="8" w:space="0" w:color="auto"/>
              <w:right w:val="single" w:sz="8" w:space="0" w:color="auto"/>
            </w:tcBorders>
            <w:shd w:val="clear" w:color="auto" w:fill="auto"/>
            <w:noWrap/>
            <w:vAlign w:val="center"/>
            <w:hideMark/>
          </w:tcPr>
          <w:p w14:paraId="3DE3947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5,2</w:t>
            </w:r>
          </w:p>
        </w:tc>
        <w:tc>
          <w:tcPr>
            <w:tcW w:w="980" w:type="dxa"/>
            <w:tcBorders>
              <w:top w:val="nil"/>
              <w:left w:val="nil"/>
              <w:bottom w:val="single" w:sz="8" w:space="0" w:color="auto"/>
              <w:right w:val="single" w:sz="8" w:space="0" w:color="auto"/>
            </w:tcBorders>
            <w:shd w:val="clear" w:color="auto" w:fill="auto"/>
            <w:noWrap/>
            <w:vAlign w:val="center"/>
            <w:hideMark/>
          </w:tcPr>
          <w:p w14:paraId="5EC3886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8,2</w:t>
            </w:r>
          </w:p>
        </w:tc>
        <w:tc>
          <w:tcPr>
            <w:tcW w:w="980" w:type="dxa"/>
            <w:tcBorders>
              <w:top w:val="nil"/>
              <w:left w:val="nil"/>
              <w:bottom w:val="single" w:sz="8" w:space="0" w:color="auto"/>
              <w:right w:val="single" w:sz="8" w:space="0" w:color="auto"/>
            </w:tcBorders>
            <w:shd w:val="clear" w:color="auto" w:fill="auto"/>
            <w:noWrap/>
            <w:vAlign w:val="center"/>
            <w:hideMark/>
          </w:tcPr>
          <w:p w14:paraId="0E55865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5,5</w:t>
            </w:r>
          </w:p>
        </w:tc>
        <w:tc>
          <w:tcPr>
            <w:tcW w:w="980" w:type="dxa"/>
            <w:tcBorders>
              <w:top w:val="nil"/>
              <w:left w:val="nil"/>
              <w:bottom w:val="single" w:sz="8" w:space="0" w:color="auto"/>
              <w:right w:val="single" w:sz="8" w:space="0" w:color="auto"/>
            </w:tcBorders>
            <w:shd w:val="clear" w:color="auto" w:fill="auto"/>
            <w:noWrap/>
            <w:vAlign w:val="center"/>
            <w:hideMark/>
          </w:tcPr>
          <w:p w14:paraId="021012D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9,1</w:t>
            </w:r>
          </w:p>
        </w:tc>
        <w:tc>
          <w:tcPr>
            <w:tcW w:w="980" w:type="dxa"/>
            <w:tcBorders>
              <w:top w:val="nil"/>
              <w:left w:val="nil"/>
              <w:bottom w:val="single" w:sz="8" w:space="0" w:color="auto"/>
              <w:right w:val="single" w:sz="8" w:space="0" w:color="auto"/>
            </w:tcBorders>
            <w:shd w:val="clear" w:color="auto" w:fill="auto"/>
            <w:noWrap/>
            <w:vAlign w:val="center"/>
            <w:hideMark/>
          </w:tcPr>
          <w:p w14:paraId="3DAFD4B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-2,1</w:t>
            </w:r>
          </w:p>
        </w:tc>
        <w:tc>
          <w:tcPr>
            <w:tcW w:w="980" w:type="dxa"/>
            <w:tcBorders>
              <w:top w:val="nil"/>
              <w:left w:val="nil"/>
              <w:bottom w:val="single" w:sz="8" w:space="0" w:color="auto"/>
              <w:right w:val="single" w:sz="8" w:space="0" w:color="auto"/>
            </w:tcBorders>
            <w:shd w:val="clear" w:color="auto" w:fill="auto"/>
            <w:noWrap/>
            <w:vAlign w:val="center"/>
            <w:hideMark/>
          </w:tcPr>
          <w:p w14:paraId="1D81429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-3,8</w:t>
            </w:r>
          </w:p>
        </w:tc>
      </w:tr>
      <w:tr w:rsidR="00697814" w:rsidRPr="00697814" w14:paraId="26F4E2AF" w14:textId="77777777" w:rsidTr="00697814">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644E495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A5FAB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10</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33F6C6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32D968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12</w:t>
            </w:r>
          </w:p>
        </w:tc>
      </w:tr>
      <w:tr w:rsidR="00697814" w:rsidRPr="00697814" w14:paraId="12D3D33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BA9100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3FD93FE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C7451F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65791F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2AE3F9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1CA64D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6C8A5B0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r>
      <w:tr w:rsidR="00697814" w:rsidRPr="00697814" w14:paraId="5A8BA49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35BE35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572D571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01723E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16E41D4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4844F6B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8B933A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13FFE1F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r>
      <w:tr w:rsidR="00697814" w:rsidRPr="00697814" w14:paraId="7E4E300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A35AD4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TX: EIRP density [dBW/MHz]</w:t>
            </w:r>
          </w:p>
        </w:tc>
        <w:tc>
          <w:tcPr>
            <w:tcW w:w="980" w:type="dxa"/>
            <w:tcBorders>
              <w:top w:val="nil"/>
              <w:left w:val="nil"/>
              <w:bottom w:val="single" w:sz="8" w:space="0" w:color="auto"/>
              <w:right w:val="single" w:sz="8" w:space="0" w:color="auto"/>
            </w:tcBorders>
            <w:shd w:val="clear" w:color="auto" w:fill="auto"/>
            <w:noWrap/>
            <w:vAlign w:val="center"/>
            <w:hideMark/>
          </w:tcPr>
          <w:p w14:paraId="3845BC7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34,0</w:t>
            </w:r>
          </w:p>
        </w:tc>
        <w:tc>
          <w:tcPr>
            <w:tcW w:w="980" w:type="dxa"/>
            <w:tcBorders>
              <w:top w:val="nil"/>
              <w:left w:val="nil"/>
              <w:bottom w:val="single" w:sz="8" w:space="0" w:color="auto"/>
              <w:right w:val="single" w:sz="8" w:space="0" w:color="auto"/>
            </w:tcBorders>
            <w:shd w:val="clear" w:color="auto" w:fill="auto"/>
            <w:noWrap/>
            <w:vAlign w:val="center"/>
            <w:hideMark/>
          </w:tcPr>
          <w:p w14:paraId="665BC6C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c>
          <w:tcPr>
            <w:tcW w:w="980" w:type="dxa"/>
            <w:tcBorders>
              <w:top w:val="nil"/>
              <w:left w:val="nil"/>
              <w:bottom w:val="single" w:sz="8" w:space="0" w:color="auto"/>
              <w:right w:val="single" w:sz="8" w:space="0" w:color="auto"/>
            </w:tcBorders>
            <w:shd w:val="clear" w:color="auto" w:fill="auto"/>
            <w:noWrap/>
            <w:vAlign w:val="center"/>
            <w:hideMark/>
          </w:tcPr>
          <w:p w14:paraId="69E54D7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1CDA405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20,2</w:t>
            </w:r>
          </w:p>
        </w:tc>
        <w:tc>
          <w:tcPr>
            <w:tcW w:w="980" w:type="dxa"/>
            <w:tcBorders>
              <w:top w:val="nil"/>
              <w:left w:val="nil"/>
              <w:bottom w:val="single" w:sz="8" w:space="0" w:color="auto"/>
              <w:right w:val="single" w:sz="8" w:space="0" w:color="auto"/>
            </w:tcBorders>
            <w:shd w:val="clear" w:color="auto" w:fill="auto"/>
            <w:noWrap/>
            <w:vAlign w:val="center"/>
            <w:hideMark/>
          </w:tcPr>
          <w:p w14:paraId="7BE2856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3C254ED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25,0</w:t>
            </w:r>
          </w:p>
        </w:tc>
      </w:tr>
      <w:tr w:rsidR="00697814" w:rsidRPr="00697814" w14:paraId="7AC6FEA4"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896211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527F417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76FE9C0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20B5F00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7EC4EF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434BB8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60AE38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r>
      <w:tr w:rsidR="00697814" w:rsidRPr="00697814" w14:paraId="1A31FCA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F23C28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59EB877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3BB9D8A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63BA078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72C016C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4E37458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39735FE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133,3</w:t>
            </w:r>
          </w:p>
        </w:tc>
      </w:tr>
      <w:tr w:rsidR="00697814" w:rsidRPr="00697814" w14:paraId="60983BF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AB74CB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350605F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431F51C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239248D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3E0052D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2D77D96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69DD0F1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188,0</w:t>
            </w:r>
          </w:p>
        </w:tc>
      </w:tr>
      <w:tr w:rsidR="00697814" w:rsidRPr="00697814" w14:paraId="72676ADE"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B42754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4F9A4E9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DC5748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4B146D6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69B60D1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082205A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1C40862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r>
      <w:tr w:rsidR="00697814" w:rsidRPr="00697814" w14:paraId="720A587C"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7BCBA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1C4062A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6D15F8E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EFAE4B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A25849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C5B962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09C2A2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389568BA"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1F174F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7214BE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53698F6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13AFE60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E191C9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46AE2F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1390E45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r>
      <w:tr w:rsidR="00697814" w:rsidRPr="00697814" w14:paraId="3D9028C8"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6DF701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4DC68B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6A9209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41536BD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85BDE2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7677FD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89F97D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7637EDE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E79642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72045B1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C28B97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160A23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33CCFF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F03B78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CA3E29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6D324E67"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AEA23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7891F60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3,6</w:t>
            </w:r>
          </w:p>
        </w:tc>
        <w:tc>
          <w:tcPr>
            <w:tcW w:w="980" w:type="dxa"/>
            <w:tcBorders>
              <w:top w:val="nil"/>
              <w:left w:val="nil"/>
              <w:bottom w:val="single" w:sz="8" w:space="0" w:color="auto"/>
              <w:right w:val="single" w:sz="8" w:space="0" w:color="auto"/>
            </w:tcBorders>
            <w:shd w:val="clear" w:color="auto" w:fill="auto"/>
            <w:noWrap/>
            <w:vAlign w:val="center"/>
            <w:hideMark/>
          </w:tcPr>
          <w:p w14:paraId="1297CFB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65089EA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8,1</w:t>
            </w:r>
          </w:p>
        </w:tc>
        <w:tc>
          <w:tcPr>
            <w:tcW w:w="980" w:type="dxa"/>
            <w:tcBorders>
              <w:top w:val="nil"/>
              <w:left w:val="nil"/>
              <w:bottom w:val="single" w:sz="8" w:space="0" w:color="auto"/>
              <w:right w:val="single" w:sz="8" w:space="0" w:color="auto"/>
            </w:tcBorders>
            <w:shd w:val="clear" w:color="auto" w:fill="auto"/>
            <w:noWrap/>
            <w:vAlign w:val="center"/>
            <w:hideMark/>
          </w:tcPr>
          <w:p w14:paraId="16BA900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12,2</w:t>
            </w:r>
          </w:p>
        </w:tc>
        <w:tc>
          <w:tcPr>
            <w:tcW w:w="980" w:type="dxa"/>
            <w:tcBorders>
              <w:top w:val="nil"/>
              <w:left w:val="nil"/>
              <w:bottom w:val="single" w:sz="8" w:space="0" w:color="auto"/>
              <w:right w:val="single" w:sz="8" w:space="0" w:color="auto"/>
            </w:tcBorders>
            <w:shd w:val="clear" w:color="auto" w:fill="auto"/>
            <w:noWrap/>
            <w:vAlign w:val="center"/>
            <w:hideMark/>
          </w:tcPr>
          <w:p w14:paraId="0E3555C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8,1</w:t>
            </w:r>
          </w:p>
        </w:tc>
        <w:tc>
          <w:tcPr>
            <w:tcW w:w="980" w:type="dxa"/>
            <w:tcBorders>
              <w:top w:val="nil"/>
              <w:left w:val="nil"/>
              <w:bottom w:val="single" w:sz="8" w:space="0" w:color="auto"/>
              <w:right w:val="single" w:sz="8" w:space="0" w:color="auto"/>
            </w:tcBorders>
            <w:shd w:val="clear" w:color="auto" w:fill="auto"/>
            <w:noWrap/>
            <w:vAlign w:val="center"/>
            <w:hideMark/>
          </w:tcPr>
          <w:p w14:paraId="2F29AF2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17,0</w:t>
            </w:r>
          </w:p>
        </w:tc>
      </w:tr>
      <w:tr w:rsidR="00697814" w:rsidRPr="00697814" w14:paraId="7D465296"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DF6A55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3A314E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11,5</w:t>
            </w:r>
          </w:p>
        </w:tc>
        <w:tc>
          <w:tcPr>
            <w:tcW w:w="980" w:type="dxa"/>
            <w:tcBorders>
              <w:top w:val="nil"/>
              <w:left w:val="nil"/>
              <w:bottom w:val="single" w:sz="8" w:space="0" w:color="auto"/>
              <w:right w:val="single" w:sz="8" w:space="0" w:color="auto"/>
            </w:tcBorders>
            <w:shd w:val="clear" w:color="auto" w:fill="auto"/>
            <w:noWrap/>
            <w:vAlign w:val="center"/>
            <w:hideMark/>
          </w:tcPr>
          <w:p w14:paraId="1090D2D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9,6</w:t>
            </w:r>
          </w:p>
        </w:tc>
        <w:tc>
          <w:tcPr>
            <w:tcW w:w="980" w:type="dxa"/>
            <w:tcBorders>
              <w:top w:val="nil"/>
              <w:left w:val="nil"/>
              <w:bottom w:val="single" w:sz="8" w:space="0" w:color="auto"/>
              <w:right w:val="single" w:sz="8" w:space="0" w:color="auto"/>
            </w:tcBorders>
            <w:shd w:val="clear" w:color="auto" w:fill="auto"/>
            <w:noWrap/>
            <w:vAlign w:val="center"/>
            <w:hideMark/>
          </w:tcPr>
          <w:p w14:paraId="1EF5485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2E4067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0D9088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6129023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r>
      <w:tr w:rsidR="00697814" w:rsidRPr="00697814" w14:paraId="4073B4C8"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DDB528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31FAFA6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04656C6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-0,7</w:t>
            </w:r>
          </w:p>
        </w:tc>
        <w:tc>
          <w:tcPr>
            <w:tcW w:w="980" w:type="dxa"/>
            <w:tcBorders>
              <w:top w:val="nil"/>
              <w:left w:val="nil"/>
              <w:bottom w:val="single" w:sz="8" w:space="0" w:color="auto"/>
              <w:right w:val="single" w:sz="8" w:space="0" w:color="auto"/>
            </w:tcBorders>
            <w:shd w:val="clear" w:color="auto" w:fill="auto"/>
            <w:noWrap/>
            <w:vAlign w:val="center"/>
            <w:hideMark/>
          </w:tcPr>
          <w:p w14:paraId="41FC989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-0,6</w:t>
            </w:r>
          </w:p>
        </w:tc>
        <w:tc>
          <w:tcPr>
            <w:tcW w:w="980" w:type="dxa"/>
            <w:tcBorders>
              <w:top w:val="nil"/>
              <w:left w:val="nil"/>
              <w:bottom w:val="single" w:sz="8" w:space="0" w:color="auto"/>
              <w:right w:val="single" w:sz="8" w:space="0" w:color="auto"/>
            </w:tcBorders>
            <w:shd w:val="clear" w:color="auto" w:fill="auto"/>
            <w:noWrap/>
            <w:vAlign w:val="center"/>
            <w:hideMark/>
          </w:tcPr>
          <w:p w14:paraId="1276A54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6CAF9F7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28863A3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r>
      <w:tr w:rsidR="00697814" w:rsidRPr="00697814" w14:paraId="5664A88F" w14:textId="77777777" w:rsidTr="00697814">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31EB38F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7F5538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13</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992BF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DDBDAC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Case 15</w:t>
            </w:r>
          </w:p>
        </w:tc>
      </w:tr>
      <w:tr w:rsidR="00697814" w:rsidRPr="00697814" w14:paraId="2B43565C"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EA34C7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09BA4FC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B92214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4013D1A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35DB46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4CDDAB2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6EFAEC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UL</w:t>
            </w:r>
          </w:p>
        </w:tc>
      </w:tr>
      <w:tr w:rsidR="00697814" w:rsidRPr="00697814" w14:paraId="49A13EC0"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154E35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40A3156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4B78766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763BF9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8B9B9B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0817056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6377C1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w:t>
            </w:r>
          </w:p>
        </w:tc>
      </w:tr>
      <w:tr w:rsidR="00697814" w:rsidRPr="00697814" w14:paraId="12447BC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F119E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TX: EIRP density [dBW/MHz]</w:t>
            </w:r>
          </w:p>
        </w:tc>
        <w:tc>
          <w:tcPr>
            <w:tcW w:w="980" w:type="dxa"/>
            <w:tcBorders>
              <w:top w:val="nil"/>
              <w:left w:val="nil"/>
              <w:bottom w:val="single" w:sz="8" w:space="0" w:color="auto"/>
              <w:right w:val="single" w:sz="8" w:space="0" w:color="auto"/>
            </w:tcBorders>
            <w:shd w:val="clear" w:color="auto" w:fill="auto"/>
            <w:noWrap/>
            <w:vAlign w:val="center"/>
            <w:hideMark/>
          </w:tcPr>
          <w:p w14:paraId="417B77B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38AC047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23,2</w:t>
            </w:r>
          </w:p>
        </w:tc>
        <w:tc>
          <w:tcPr>
            <w:tcW w:w="980" w:type="dxa"/>
            <w:tcBorders>
              <w:top w:val="nil"/>
              <w:left w:val="nil"/>
              <w:bottom w:val="single" w:sz="8" w:space="0" w:color="auto"/>
              <w:right w:val="single" w:sz="8" w:space="0" w:color="auto"/>
            </w:tcBorders>
            <w:shd w:val="clear" w:color="auto" w:fill="auto"/>
            <w:noWrap/>
            <w:vAlign w:val="center"/>
            <w:hideMark/>
          </w:tcPr>
          <w:p w14:paraId="3A350FE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w:t>
            </w:r>
          </w:p>
        </w:tc>
        <w:tc>
          <w:tcPr>
            <w:tcW w:w="980" w:type="dxa"/>
            <w:tcBorders>
              <w:top w:val="nil"/>
              <w:left w:val="nil"/>
              <w:bottom w:val="single" w:sz="8" w:space="0" w:color="auto"/>
              <w:right w:val="single" w:sz="8" w:space="0" w:color="auto"/>
            </w:tcBorders>
            <w:shd w:val="clear" w:color="auto" w:fill="auto"/>
            <w:noWrap/>
            <w:vAlign w:val="center"/>
            <w:hideMark/>
          </w:tcPr>
          <w:p w14:paraId="20B0826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c>
          <w:tcPr>
            <w:tcW w:w="980" w:type="dxa"/>
            <w:tcBorders>
              <w:top w:val="nil"/>
              <w:left w:val="nil"/>
              <w:bottom w:val="single" w:sz="8" w:space="0" w:color="auto"/>
              <w:right w:val="single" w:sz="8" w:space="0" w:color="auto"/>
            </w:tcBorders>
            <w:shd w:val="clear" w:color="auto" w:fill="auto"/>
            <w:noWrap/>
            <w:vAlign w:val="center"/>
            <w:hideMark/>
          </w:tcPr>
          <w:p w14:paraId="2E87E06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40,0</w:t>
            </w:r>
          </w:p>
        </w:tc>
        <w:tc>
          <w:tcPr>
            <w:tcW w:w="980" w:type="dxa"/>
            <w:tcBorders>
              <w:top w:val="nil"/>
              <w:left w:val="nil"/>
              <w:bottom w:val="single" w:sz="8" w:space="0" w:color="auto"/>
              <w:right w:val="single" w:sz="8" w:space="0" w:color="auto"/>
            </w:tcBorders>
            <w:shd w:val="clear" w:color="auto" w:fill="auto"/>
            <w:noWrap/>
            <w:vAlign w:val="center"/>
            <w:hideMark/>
          </w:tcPr>
          <w:p w14:paraId="2DB84BE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-2,6</w:t>
            </w:r>
          </w:p>
        </w:tc>
      </w:tr>
      <w:tr w:rsidR="00697814" w:rsidRPr="00697814" w14:paraId="0750F19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84DC7E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0AFBBD3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7697CDC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38BF79A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24ABEF3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w:t>
            </w:r>
          </w:p>
        </w:tc>
        <w:tc>
          <w:tcPr>
            <w:tcW w:w="980" w:type="dxa"/>
            <w:tcBorders>
              <w:top w:val="nil"/>
              <w:left w:val="nil"/>
              <w:bottom w:val="single" w:sz="8" w:space="0" w:color="auto"/>
              <w:right w:val="single" w:sz="8" w:space="0" w:color="auto"/>
            </w:tcBorders>
            <w:shd w:val="clear" w:color="auto" w:fill="auto"/>
            <w:noWrap/>
            <w:vAlign w:val="center"/>
            <w:hideMark/>
          </w:tcPr>
          <w:p w14:paraId="7305C7A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3FC86ED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w:t>
            </w:r>
          </w:p>
        </w:tc>
      </w:tr>
      <w:tr w:rsidR="00697814" w:rsidRPr="00697814" w14:paraId="1BB373D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752072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30E8307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569816E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23B3754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36A825E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6BC3C0D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4FCA37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0,4</w:t>
            </w:r>
          </w:p>
        </w:tc>
      </w:tr>
      <w:tr w:rsidR="00697814" w:rsidRPr="00697814" w14:paraId="122B9E1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E70E02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5B54A74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59A1A6C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298820A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6659398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0801A76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427EB67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164,5</w:t>
            </w:r>
          </w:p>
        </w:tc>
      </w:tr>
      <w:tr w:rsidR="00697814" w:rsidRPr="00697814" w14:paraId="78FBACF6"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E5DD46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60A9E4F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1,6</w:t>
            </w:r>
          </w:p>
        </w:tc>
        <w:tc>
          <w:tcPr>
            <w:tcW w:w="980" w:type="dxa"/>
            <w:tcBorders>
              <w:top w:val="nil"/>
              <w:left w:val="nil"/>
              <w:bottom w:val="single" w:sz="8" w:space="0" w:color="auto"/>
              <w:right w:val="single" w:sz="8" w:space="0" w:color="auto"/>
            </w:tcBorders>
            <w:shd w:val="clear" w:color="auto" w:fill="auto"/>
            <w:noWrap/>
            <w:vAlign w:val="center"/>
            <w:hideMark/>
          </w:tcPr>
          <w:p w14:paraId="70C162A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45F327E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1C4E33B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7F22BDC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72D88F3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r>
      <w:tr w:rsidR="00697814" w:rsidRPr="00697814" w14:paraId="31FEE053"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A27542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01D5111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5FDC23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311E6B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0CE0187"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A1D979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4C4C9BB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3,0</w:t>
            </w:r>
          </w:p>
        </w:tc>
      </w:tr>
      <w:tr w:rsidR="00697814" w:rsidRPr="00697814" w14:paraId="47E47FA0"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9F09B0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3E7760D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4C9D12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4D6A5502"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34C074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16BF97D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4F31E32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2,2</w:t>
            </w:r>
          </w:p>
        </w:tc>
      </w:tr>
      <w:tr w:rsidR="00697814" w:rsidRPr="00697814" w14:paraId="2A51ECF9"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400EDE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2B3630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6EBC309"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DA61DE3"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8D583B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22A5BF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E1803A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2420E5AF"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3FCE04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3735CDA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61E634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6D40AD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FB1993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B5010E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9A6192E"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0,0</w:t>
            </w:r>
          </w:p>
        </w:tc>
      </w:tr>
      <w:tr w:rsidR="00697814" w:rsidRPr="00697814" w14:paraId="0007E320"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D183A9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458CD91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8,1</w:t>
            </w:r>
          </w:p>
        </w:tc>
        <w:tc>
          <w:tcPr>
            <w:tcW w:w="980" w:type="dxa"/>
            <w:tcBorders>
              <w:top w:val="nil"/>
              <w:left w:val="nil"/>
              <w:bottom w:val="single" w:sz="8" w:space="0" w:color="auto"/>
              <w:right w:val="single" w:sz="8" w:space="0" w:color="auto"/>
            </w:tcBorders>
            <w:shd w:val="clear" w:color="auto" w:fill="auto"/>
            <w:noWrap/>
            <w:vAlign w:val="center"/>
            <w:hideMark/>
          </w:tcPr>
          <w:p w14:paraId="4772566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15,2</w:t>
            </w:r>
          </w:p>
        </w:tc>
        <w:tc>
          <w:tcPr>
            <w:tcW w:w="980" w:type="dxa"/>
            <w:tcBorders>
              <w:top w:val="nil"/>
              <w:left w:val="nil"/>
              <w:bottom w:val="single" w:sz="8" w:space="0" w:color="auto"/>
              <w:right w:val="single" w:sz="8" w:space="0" w:color="auto"/>
            </w:tcBorders>
            <w:shd w:val="clear" w:color="auto" w:fill="auto"/>
            <w:noWrap/>
            <w:vAlign w:val="center"/>
            <w:hideMark/>
          </w:tcPr>
          <w:p w14:paraId="086A571D"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729C99E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-5,6</w:t>
            </w:r>
          </w:p>
        </w:tc>
        <w:tc>
          <w:tcPr>
            <w:tcW w:w="980" w:type="dxa"/>
            <w:tcBorders>
              <w:top w:val="nil"/>
              <w:left w:val="nil"/>
              <w:bottom w:val="single" w:sz="8" w:space="0" w:color="auto"/>
              <w:right w:val="single" w:sz="8" w:space="0" w:color="auto"/>
            </w:tcBorders>
            <w:shd w:val="clear" w:color="auto" w:fill="auto"/>
            <w:noWrap/>
            <w:vAlign w:val="center"/>
            <w:hideMark/>
          </w:tcPr>
          <w:p w14:paraId="7CC8E66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423B827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-5,6</w:t>
            </w:r>
          </w:p>
        </w:tc>
      </w:tr>
      <w:tr w:rsidR="00697814" w:rsidRPr="00697814" w14:paraId="719FEC81"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A0ED55"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3DBDC440"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341EA1B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NA</w:t>
            </w:r>
          </w:p>
        </w:tc>
        <w:tc>
          <w:tcPr>
            <w:tcW w:w="980" w:type="dxa"/>
            <w:tcBorders>
              <w:top w:val="nil"/>
              <w:left w:val="nil"/>
              <w:bottom w:val="single" w:sz="8" w:space="0" w:color="auto"/>
              <w:right w:val="single" w:sz="8" w:space="0" w:color="auto"/>
            </w:tcBorders>
            <w:shd w:val="clear" w:color="auto" w:fill="auto"/>
            <w:noWrap/>
            <w:vAlign w:val="center"/>
            <w:hideMark/>
          </w:tcPr>
          <w:p w14:paraId="162EDADA"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1,9</w:t>
            </w:r>
          </w:p>
        </w:tc>
        <w:tc>
          <w:tcPr>
            <w:tcW w:w="980" w:type="dxa"/>
            <w:tcBorders>
              <w:top w:val="nil"/>
              <w:left w:val="nil"/>
              <w:bottom w:val="single" w:sz="8" w:space="0" w:color="auto"/>
              <w:right w:val="single" w:sz="8" w:space="0" w:color="auto"/>
            </w:tcBorders>
            <w:shd w:val="clear" w:color="auto" w:fill="auto"/>
            <w:noWrap/>
            <w:vAlign w:val="center"/>
            <w:hideMark/>
          </w:tcPr>
          <w:p w14:paraId="1E8E89D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5D4B53E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11,5</w:t>
            </w:r>
          </w:p>
        </w:tc>
        <w:tc>
          <w:tcPr>
            <w:tcW w:w="980" w:type="dxa"/>
            <w:tcBorders>
              <w:top w:val="nil"/>
              <w:left w:val="nil"/>
              <w:bottom w:val="single" w:sz="8" w:space="0" w:color="auto"/>
              <w:right w:val="single" w:sz="8" w:space="0" w:color="auto"/>
            </w:tcBorders>
            <w:shd w:val="clear" w:color="auto" w:fill="auto"/>
            <w:noWrap/>
            <w:vAlign w:val="center"/>
            <w:hideMark/>
          </w:tcPr>
          <w:p w14:paraId="2DDF7BDF"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-0,5</w:t>
            </w:r>
          </w:p>
        </w:tc>
      </w:tr>
      <w:tr w:rsidR="00697814" w:rsidRPr="00697814" w14:paraId="35E9688B" w14:textId="77777777" w:rsidTr="00697814">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41108B"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1E246BC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76469AFC"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0DB4A784"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68B3111"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-6,8</w:t>
            </w:r>
          </w:p>
        </w:tc>
        <w:tc>
          <w:tcPr>
            <w:tcW w:w="980" w:type="dxa"/>
            <w:tcBorders>
              <w:top w:val="nil"/>
              <w:left w:val="nil"/>
              <w:bottom w:val="single" w:sz="8" w:space="0" w:color="auto"/>
              <w:right w:val="single" w:sz="8" w:space="0" w:color="auto"/>
            </w:tcBorders>
            <w:shd w:val="clear" w:color="auto" w:fill="auto"/>
            <w:noWrap/>
            <w:vAlign w:val="center"/>
            <w:hideMark/>
          </w:tcPr>
          <w:p w14:paraId="04E64946"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3,5</w:t>
            </w:r>
          </w:p>
        </w:tc>
        <w:tc>
          <w:tcPr>
            <w:tcW w:w="980" w:type="dxa"/>
            <w:tcBorders>
              <w:top w:val="nil"/>
              <w:left w:val="nil"/>
              <w:bottom w:val="single" w:sz="8" w:space="0" w:color="auto"/>
              <w:right w:val="single" w:sz="8" w:space="0" w:color="auto"/>
            </w:tcBorders>
            <w:shd w:val="clear" w:color="auto" w:fill="auto"/>
            <w:noWrap/>
            <w:vAlign w:val="center"/>
            <w:hideMark/>
          </w:tcPr>
          <w:p w14:paraId="1195ABB8" w14:textId="77777777" w:rsidR="00697814" w:rsidRPr="00697814" w:rsidRDefault="00697814" w:rsidP="00697814">
            <w:pPr>
              <w:autoSpaceDE/>
              <w:autoSpaceDN/>
              <w:adjustRightInd/>
              <w:snapToGrid/>
              <w:spacing w:after="0"/>
              <w:jc w:val="center"/>
              <w:rPr>
                <w:rFonts w:eastAsia="Times New Roman" w:cs="Times New Roman"/>
              </w:rPr>
            </w:pPr>
            <w:r w:rsidRPr="00697814">
              <w:rPr>
                <w:rFonts w:eastAsia="Times New Roman" w:cs="Times New Roman"/>
              </w:rPr>
              <w:t>-6,8</w:t>
            </w:r>
          </w:p>
        </w:tc>
      </w:tr>
    </w:tbl>
    <w:p w14:paraId="214B6909" w14:textId="77777777" w:rsidR="00896382" w:rsidRDefault="00896382">
      <w:pPr>
        <w:autoSpaceDE/>
        <w:autoSpaceDN/>
        <w:adjustRightInd/>
        <w:snapToGrid/>
        <w:spacing w:after="0"/>
        <w:jc w:val="left"/>
        <w:rPr>
          <w:lang w:eastAsia="ja-JP"/>
        </w:rPr>
      </w:pPr>
    </w:p>
    <w:p w14:paraId="60592A7A" w14:textId="1505F9C3" w:rsidR="006754C9" w:rsidRDefault="00896382">
      <w:pPr>
        <w:autoSpaceDE/>
        <w:autoSpaceDN/>
        <w:adjustRightInd/>
        <w:snapToGrid/>
        <w:spacing w:after="0"/>
        <w:jc w:val="left"/>
        <w:rPr>
          <w:lang w:eastAsia="ja-JP"/>
        </w:rPr>
      </w:pPr>
      <w:r>
        <w:rPr>
          <w:lang w:eastAsia="ja-JP"/>
        </w:rPr>
        <w:br w:type="page"/>
      </w:r>
    </w:p>
    <w:p w14:paraId="7C615D51" w14:textId="33E4B708" w:rsidR="00364AC5" w:rsidRDefault="00364AC5" w:rsidP="00C625F5">
      <w:pPr>
        <w:pStyle w:val="Titre1"/>
        <w:keepLines w:val="0"/>
        <w:numPr>
          <w:ilvl w:val="0"/>
          <w:numId w:val="14"/>
        </w:numPr>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lastRenderedPageBreak/>
        <w:t>Conclusion</w:t>
      </w:r>
    </w:p>
    <w:p w14:paraId="2A79B6F4" w14:textId="6DA16C6C" w:rsidR="00672CB0" w:rsidRDefault="00AC3A71" w:rsidP="008706F7">
      <w:pPr>
        <w:rPr>
          <w:lang w:eastAsia="ja-JP"/>
        </w:rPr>
      </w:pPr>
      <w:r w:rsidRPr="004A49D8">
        <w:rPr>
          <w:lang w:eastAsia="ja-JP"/>
        </w:rPr>
        <w:t>In this paper, the following</w:t>
      </w:r>
      <w:r w:rsidR="00AE29A5">
        <w:rPr>
          <w:lang w:eastAsia="ja-JP"/>
        </w:rPr>
        <w:t xml:space="preserve"> proposals</w:t>
      </w:r>
      <w:r w:rsidR="00FC0948">
        <w:rPr>
          <w:lang w:eastAsia="ja-JP"/>
        </w:rPr>
        <w:t xml:space="preserve"> and observations</w:t>
      </w:r>
      <w:r w:rsidRPr="004A49D8">
        <w:rPr>
          <w:lang w:eastAsia="ja-JP"/>
        </w:rPr>
        <w:t xml:space="preserve"> have been made :</w:t>
      </w:r>
    </w:p>
    <w:p w14:paraId="3988434A" w14:textId="77777777" w:rsidR="00462D73" w:rsidRDefault="00462D73" w:rsidP="00CA1F1E">
      <w:pPr>
        <w:pStyle w:val="Observation"/>
        <w:numPr>
          <w:ilvl w:val="0"/>
          <w:numId w:val="29"/>
        </w:numPr>
      </w:pPr>
      <w:r>
        <w:t>Calibration results show that some trade-offs should be carried between the frequency reuse factor and the bandwidth available in order to optimize the system capacity.</w:t>
      </w:r>
    </w:p>
    <w:p w14:paraId="44AEC1B4" w14:textId="77777777" w:rsidR="00462D73" w:rsidRDefault="00462D73" w:rsidP="00462D73">
      <w:pPr>
        <w:pStyle w:val="Observation"/>
      </w:pPr>
      <w:r>
        <w:t>For GEO study cases in S-Band involving handheld terminals, throughput performance is limited by the terminals’ RF capabilities.</w:t>
      </w:r>
    </w:p>
    <w:p w14:paraId="316A2127" w14:textId="4F8175A3" w:rsidR="00462D73" w:rsidRDefault="00462D73" w:rsidP="00462D73">
      <w:pPr>
        <w:pStyle w:val="Observation"/>
      </w:pPr>
      <w:r>
        <w:t>The calibration results are representative of the CINR experienced at the input of one RX branch. In other words, the potential gain obtained after the coherent recombination of the multiple RX branches is not taken into account in the calibration results presented here.</w:t>
      </w:r>
    </w:p>
    <w:p w14:paraId="78A5D512" w14:textId="77777777" w:rsidR="00CA1F1E" w:rsidRDefault="00CA1F1E" w:rsidP="00CA1F1E">
      <w:pPr>
        <w:pStyle w:val="Observation"/>
      </w:pPr>
      <w:r>
        <w:t>The CINR values presented in the link budget analysis tends to be pessimistic but they are not representative of the worst case scenarios.</w:t>
      </w:r>
    </w:p>
    <w:p w14:paraId="2029A4D9" w14:textId="68B3B09B" w:rsidR="00CA1F1E" w:rsidRPr="00462D73" w:rsidRDefault="00CA1F1E" w:rsidP="00CA1F1E">
      <w:pPr>
        <w:pStyle w:val="Observation"/>
      </w:pPr>
      <w:r>
        <w:t>The link budget results are representative of the CINR experienced at the input of one RX branch. In other words, the potential gain obtained after the coherent recombination of the multiple RX branches is not taken into account in the ling budget results presented here.</w:t>
      </w:r>
    </w:p>
    <w:p w14:paraId="13A19971" w14:textId="77777777" w:rsidR="00462D73" w:rsidRDefault="00462D73" w:rsidP="008706F7">
      <w:pPr>
        <w:rPr>
          <w:lang w:eastAsia="ja-JP"/>
        </w:rPr>
      </w:pPr>
    </w:p>
    <w:p w14:paraId="5BB73132" w14:textId="77777777" w:rsidR="00462D73" w:rsidRPr="00CA1F1E" w:rsidRDefault="00462D73" w:rsidP="00CA1F1E">
      <w:pPr>
        <w:pStyle w:val="Proposal"/>
        <w:numPr>
          <w:ilvl w:val="0"/>
          <w:numId w:val="30"/>
        </w:numPr>
        <w:rPr>
          <w:lang w:val="en-GB" w:eastAsia="ja-JP"/>
        </w:rPr>
      </w:pPr>
      <w:r w:rsidRPr="00CA1F1E">
        <w:rPr>
          <w:lang w:val="en-GB" w:eastAsia="ja-JP"/>
        </w:rPr>
        <w:t>RAN1 WG should clarify the procedure to decide whether a beam should be discarded or not. In particular, it should be clarify if the beam is considered discarded when its Voronoï cell is not properly defined (i.e. boundless).</w:t>
      </w:r>
    </w:p>
    <w:p w14:paraId="348ACCA0" w14:textId="3019478E" w:rsidR="00462D73" w:rsidRPr="00CA1F1E" w:rsidRDefault="00CA1F1E" w:rsidP="008706F7">
      <w:pPr>
        <w:pStyle w:val="Proposal"/>
        <w:rPr>
          <w:lang w:val="en-GB" w:eastAsia="ja-JP"/>
        </w:rPr>
      </w:pPr>
      <w:r>
        <w:rPr>
          <w:lang w:val="en-GB" w:eastAsia="ja-JP"/>
        </w:rPr>
        <w:t>RAN1 WG should clarify what should be done when the Voronoi cell associated to the only beam of interest is not properly defined (i.e. boundless).</w:t>
      </w:r>
      <w:bookmarkStart w:id="14" w:name="_GoBack"/>
      <w:bookmarkEnd w:id="14"/>
    </w:p>
    <w:p w14:paraId="5D5DA29F" w14:textId="3A6A80C4" w:rsidR="00686A0C" w:rsidRDefault="00686A0C" w:rsidP="00686A0C">
      <w:pPr>
        <w:pStyle w:val="Titre1"/>
        <w:keepLines w:val="0"/>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t>Reference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382"/>
      </w:tblGrid>
      <w:tr w:rsidR="00686A0C" w:rsidRPr="00283132" w14:paraId="4E4C1D9F" w14:textId="77777777" w:rsidTr="00534D73">
        <w:tc>
          <w:tcPr>
            <w:tcW w:w="240" w:type="pct"/>
            <w:hideMark/>
          </w:tcPr>
          <w:p w14:paraId="7A211F6E" w14:textId="77777777" w:rsidR="00686A0C" w:rsidRDefault="00686A0C" w:rsidP="001B3927">
            <w:pPr>
              <w:pStyle w:val="Bibliographie"/>
              <w:rPr>
                <w:rFonts w:eastAsiaTheme="minorEastAsia"/>
                <w:noProof/>
              </w:rPr>
            </w:pPr>
            <w:r>
              <w:rPr>
                <w:noProof/>
              </w:rPr>
              <w:t xml:space="preserve">[1] </w:t>
            </w:r>
          </w:p>
        </w:tc>
        <w:tc>
          <w:tcPr>
            <w:tcW w:w="0" w:type="auto"/>
            <w:hideMark/>
          </w:tcPr>
          <w:p w14:paraId="63BFC096" w14:textId="4161846B" w:rsidR="00664C4B" w:rsidRPr="00664C4B" w:rsidRDefault="00686A0C" w:rsidP="00664C4B">
            <w:pPr>
              <w:pStyle w:val="Bibliographie"/>
              <w:rPr>
                <w:lang w:val="en-US"/>
              </w:rPr>
            </w:pPr>
            <w:r w:rsidRPr="00283132">
              <w:rPr>
                <w:noProof/>
                <w:lang w:val="en-US"/>
              </w:rPr>
              <w:t>"TR38.811 Study on NR to su</w:t>
            </w:r>
            <w:r w:rsidR="00664C4B">
              <w:rPr>
                <w:noProof/>
                <w:lang w:val="en-US"/>
              </w:rPr>
              <w:t>pport non terrestrial network"</w:t>
            </w:r>
          </w:p>
        </w:tc>
      </w:tr>
      <w:tr w:rsidR="00664C4B" w:rsidRPr="00283132" w14:paraId="78C1E455" w14:textId="77777777" w:rsidTr="00534D73">
        <w:tc>
          <w:tcPr>
            <w:tcW w:w="240" w:type="pct"/>
          </w:tcPr>
          <w:p w14:paraId="1559624F" w14:textId="5521DA28" w:rsidR="00664C4B" w:rsidRDefault="00664C4B" w:rsidP="001B3927">
            <w:pPr>
              <w:pStyle w:val="Bibliographie"/>
              <w:rPr>
                <w:noProof/>
              </w:rPr>
            </w:pPr>
            <w:r>
              <w:rPr>
                <w:noProof/>
              </w:rPr>
              <w:t>[2]</w:t>
            </w:r>
          </w:p>
        </w:tc>
        <w:tc>
          <w:tcPr>
            <w:tcW w:w="0" w:type="auto"/>
          </w:tcPr>
          <w:p w14:paraId="211D3689" w14:textId="217644D4" w:rsidR="00664C4B" w:rsidRPr="00283132" w:rsidRDefault="00664C4B" w:rsidP="00664C4B">
            <w:pPr>
              <w:pStyle w:val="Bibliographie"/>
              <w:rPr>
                <w:noProof/>
                <w:lang w:val="en-US"/>
              </w:rPr>
            </w:pPr>
            <w:r>
              <w:rPr>
                <w:noProof/>
                <w:lang w:val="en-US"/>
              </w:rPr>
              <w:t xml:space="preserve">“TR38.821 </w:t>
            </w:r>
            <w:r w:rsidRPr="00664C4B">
              <w:rPr>
                <w:noProof/>
                <w:lang w:val="en-US"/>
              </w:rPr>
              <w:t>Solutions for NR to support non-terrestrial networks (NTN)</w:t>
            </w:r>
            <w:r>
              <w:rPr>
                <w:noProof/>
                <w:lang w:val="en-US"/>
              </w:rPr>
              <w:t>”</w:t>
            </w:r>
          </w:p>
        </w:tc>
      </w:tr>
      <w:tr w:rsidR="00664C4B" w:rsidRPr="00283132" w14:paraId="07B15A8D" w14:textId="77777777" w:rsidTr="00534D73">
        <w:tc>
          <w:tcPr>
            <w:tcW w:w="240" w:type="pct"/>
          </w:tcPr>
          <w:p w14:paraId="45B5BAF6" w14:textId="39EB983B" w:rsidR="00664C4B" w:rsidRDefault="00664C4B" w:rsidP="001B3927">
            <w:pPr>
              <w:pStyle w:val="Bibliographie"/>
              <w:rPr>
                <w:noProof/>
              </w:rPr>
            </w:pPr>
            <w:r>
              <w:rPr>
                <w:noProof/>
              </w:rPr>
              <w:t>[3]</w:t>
            </w:r>
          </w:p>
        </w:tc>
        <w:tc>
          <w:tcPr>
            <w:tcW w:w="0" w:type="auto"/>
          </w:tcPr>
          <w:p w14:paraId="67D23E6A" w14:textId="5753214E" w:rsidR="00664C4B" w:rsidRDefault="00664C4B" w:rsidP="009C78EF">
            <w:pPr>
              <w:pStyle w:val="Bibliographie"/>
              <w:rPr>
                <w:noProof/>
                <w:lang w:val="en-US"/>
              </w:rPr>
            </w:pPr>
            <w:r>
              <w:rPr>
                <w:noProof/>
                <w:lang w:val="en-US"/>
              </w:rPr>
              <w:t>“</w:t>
            </w:r>
            <w:r w:rsidRPr="00736DCA">
              <w:rPr>
                <w:noProof/>
                <w:lang w:val="en-US"/>
              </w:rPr>
              <w:t>RAN1 Chairman’s Notes”, 3GPP TSG RAN WG1 Meeting #9</w:t>
            </w:r>
            <w:r w:rsidR="009C78EF">
              <w:rPr>
                <w:noProof/>
                <w:lang w:val="en-US"/>
              </w:rPr>
              <w:t>8</w:t>
            </w:r>
          </w:p>
        </w:tc>
      </w:tr>
    </w:tbl>
    <w:p w14:paraId="138DC2D3" w14:textId="6E63FA3A" w:rsidR="00406057" w:rsidRDefault="00406057" w:rsidP="00D2360B"/>
    <w:sectPr w:rsidR="0040605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99EEC" w14:textId="77777777" w:rsidR="005D4FF9" w:rsidRDefault="005D4FF9">
      <w:r>
        <w:separator/>
      </w:r>
    </w:p>
  </w:endnote>
  <w:endnote w:type="continuationSeparator" w:id="0">
    <w:p w14:paraId="27443D59" w14:textId="77777777" w:rsidR="005D4FF9" w:rsidRDefault="005D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 w:name="等线 Light">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5E5C6C77" w:rsidR="005D4FF9" w:rsidRDefault="005D4FF9"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CA1F1E">
      <w:rPr>
        <w:rStyle w:val="Numrodepage"/>
      </w:rPr>
      <w:t>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A1F1E">
      <w:rPr>
        <w:rStyle w:val="Numrodepage"/>
      </w:rPr>
      <w:t>7</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EA78" w14:textId="77777777" w:rsidR="005D4FF9" w:rsidRDefault="005D4FF9">
      <w:r>
        <w:separator/>
      </w:r>
    </w:p>
  </w:footnote>
  <w:footnote w:type="continuationSeparator" w:id="0">
    <w:p w14:paraId="2AF11281" w14:textId="77777777" w:rsidR="005D4FF9" w:rsidRDefault="005D4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5D4FF9" w:rsidRDefault="005D4F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pStyle w:val="Titre2"/>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E3C4F38"/>
    <w:multiLevelType w:val="hybridMultilevel"/>
    <w:tmpl w:val="CC2A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CA7F3A"/>
    <w:multiLevelType w:val="hybridMultilevel"/>
    <w:tmpl w:val="99A86662"/>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757330"/>
    <w:multiLevelType w:val="hybridMultilevel"/>
    <w:tmpl w:val="913C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E30CC6"/>
    <w:multiLevelType w:val="hybridMultilevel"/>
    <w:tmpl w:val="993AE3F6"/>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AA4EDD86"/>
    <w:lvl w:ilvl="0" w:tplc="7CAAE5F0">
      <w:start w:val="1"/>
      <w:numFmt w:val="decimal"/>
      <w:pStyle w:val="Proposal"/>
      <w:lvlText w:val="Proposal %1"/>
      <w:lvlJc w:val="left"/>
      <w:pPr>
        <w:tabs>
          <w:tab w:val="num" w:pos="1304"/>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3B76A5"/>
    <w:multiLevelType w:val="hybridMultilevel"/>
    <w:tmpl w:val="F20C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A74C9B3C"/>
    <w:lvl w:ilvl="0" w:tplc="F1D64880">
      <w:start w:val="1"/>
      <w:numFmt w:val="decimal"/>
      <w:pStyle w:val="Observation"/>
      <w:lvlText w:val="Observation %1"/>
      <w:lvlJc w:val="left"/>
      <w:pPr>
        <w:ind w:left="0" w:firstLine="0"/>
      </w:pPr>
      <w:rPr>
        <w:rFonts w:hint="default"/>
        <w:lang w:val="en-U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40A1FFD"/>
    <w:multiLevelType w:val="hybridMultilevel"/>
    <w:tmpl w:val="ABC8BE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nsid w:val="64B37FD6"/>
    <w:multiLevelType w:val="hybridMultilevel"/>
    <w:tmpl w:val="F752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C027C"/>
    <w:multiLevelType w:val="hybridMultilevel"/>
    <w:tmpl w:val="0D46A5D8"/>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9"/>
  </w:num>
  <w:num w:numId="7">
    <w:abstractNumId w:val="7"/>
  </w:num>
  <w:num w:numId="8">
    <w:abstractNumId w:val="8"/>
  </w:num>
  <w:num w:numId="9">
    <w:abstractNumId w:val="3"/>
  </w:num>
  <w:num w:numId="10">
    <w:abstractNumId w:val="25"/>
  </w:num>
  <w:num w:numId="11">
    <w:abstractNumId w:val="11"/>
  </w:num>
  <w:num w:numId="12">
    <w:abstractNumId w:val="24"/>
  </w:num>
  <w:num w:numId="13">
    <w:abstractNumId w:val="9"/>
  </w:num>
  <w:num w:numId="14">
    <w:abstractNumId w:val="1"/>
  </w:num>
  <w:num w:numId="15">
    <w:abstractNumId w:val="20"/>
  </w:num>
  <w:num w:numId="16">
    <w:abstractNumId w:val="5"/>
  </w:num>
  <w:num w:numId="17">
    <w:abstractNumId w:val="23"/>
  </w:num>
  <w:num w:numId="18">
    <w:abstractNumId w:val="17"/>
  </w:num>
  <w:num w:numId="19">
    <w:abstractNumId w:val="18"/>
  </w:num>
  <w:num w:numId="20">
    <w:abstractNumId w:val="21"/>
  </w:num>
  <w:num w:numId="21">
    <w:abstractNumId w:val="2"/>
  </w:num>
  <w:num w:numId="22">
    <w:abstractNumId w:val="12"/>
    <w:lvlOverride w:ilvl="0">
      <w:startOverride w:val="1"/>
    </w:lvlOverride>
  </w:num>
  <w:num w:numId="23">
    <w:abstractNumId w:val="15"/>
    <w:lvlOverride w:ilvl="0">
      <w:startOverride w:val="1"/>
    </w:lvlOverride>
  </w:num>
  <w:num w:numId="24">
    <w:abstractNumId w:val="6"/>
  </w:num>
  <w:num w:numId="25">
    <w:abstractNumId w:val="4"/>
  </w:num>
  <w:num w:numId="26">
    <w:abstractNumId w:val="10"/>
  </w:num>
  <w:num w:numId="27">
    <w:abstractNumId w:val="22"/>
  </w:num>
  <w:num w:numId="28">
    <w:abstractNumId w:val="13"/>
  </w:num>
  <w:num w:numId="29">
    <w:abstractNumId w:val="15"/>
    <w:lvlOverride w:ilvl="0">
      <w:startOverride w:val="1"/>
    </w:lvlOverride>
  </w:num>
  <w:num w:numId="30">
    <w:abstractNumId w:val="12"/>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10B4"/>
    <w:rsid w:val="00002A37"/>
    <w:rsid w:val="00002ED1"/>
    <w:rsid w:val="00005602"/>
    <w:rsid w:val="0000564C"/>
    <w:rsid w:val="00006445"/>
    <w:rsid w:val="00006446"/>
    <w:rsid w:val="00006896"/>
    <w:rsid w:val="00007CDC"/>
    <w:rsid w:val="00010F01"/>
    <w:rsid w:val="0001137D"/>
    <w:rsid w:val="00011945"/>
    <w:rsid w:val="00011B28"/>
    <w:rsid w:val="00012DA0"/>
    <w:rsid w:val="00012E9F"/>
    <w:rsid w:val="00013475"/>
    <w:rsid w:val="00013A05"/>
    <w:rsid w:val="00013E8A"/>
    <w:rsid w:val="0001407C"/>
    <w:rsid w:val="00015D15"/>
    <w:rsid w:val="00016158"/>
    <w:rsid w:val="00016B98"/>
    <w:rsid w:val="00016DE4"/>
    <w:rsid w:val="0002005A"/>
    <w:rsid w:val="0002031C"/>
    <w:rsid w:val="00022126"/>
    <w:rsid w:val="00023254"/>
    <w:rsid w:val="00025237"/>
    <w:rsid w:val="0002564D"/>
    <w:rsid w:val="00025ECA"/>
    <w:rsid w:val="00027C76"/>
    <w:rsid w:val="0003189D"/>
    <w:rsid w:val="000325B8"/>
    <w:rsid w:val="00033A33"/>
    <w:rsid w:val="00034C15"/>
    <w:rsid w:val="00034F9F"/>
    <w:rsid w:val="00035BC0"/>
    <w:rsid w:val="00035D17"/>
    <w:rsid w:val="00036BA1"/>
    <w:rsid w:val="0004110B"/>
    <w:rsid w:val="00041A26"/>
    <w:rsid w:val="000422E2"/>
    <w:rsid w:val="000428E8"/>
    <w:rsid w:val="00042DE2"/>
    <w:rsid w:val="00042F22"/>
    <w:rsid w:val="00043A70"/>
    <w:rsid w:val="000440A2"/>
    <w:rsid w:val="000444EF"/>
    <w:rsid w:val="00044C67"/>
    <w:rsid w:val="0004665F"/>
    <w:rsid w:val="00050026"/>
    <w:rsid w:val="00050033"/>
    <w:rsid w:val="00050F2E"/>
    <w:rsid w:val="0005204E"/>
    <w:rsid w:val="00052593"/>
    <w:rsid w:val="00052781"/>
    <w:rsid w:val="00052983"/>
    <w:rsid w:val="00052A07"/>
    <w:rsid w:val="00053075"/>
    <w:rsid w:val="000534E3"/>
    <w:rsid w:val="00053782"/>
    <w:rsid w:val="000544E7"/>
    <w:rsid w:val="00054DDB"/>
    <w:rsid w:val="0005606A"/>
    <w:rsid w:val="00057117"/>
    <w:rsid w:val="00057D4E"/>
    <w:rsid w:val="0006009F"/>
    <w:rsid w:val="0006049F"/>
    <w:rsid w:val="000616E7"/>
    <w:rsid w:val="000633A8"/>
    <w:rsid w:val="0006365D"/>
    <w:rsid w:val="000637FD"/>
    <w:rsid w:val="0006413A"/>
    <w:rsid w:val="0006487E"/>
    <w:rsid w:val="0006535A"/>
    <w:rsid w:val="00065E1A"/>
    <w:rsid w:val="0007030B"/>
    <w:rsid w:val="00070614"/>
    <w:rsid w:val="00070BB8"/>
    <w:rsid w:val="0007155D"/>
    <w:rsid w:val="0007319A"/>
    <w:rsid w:val="000738AC"/>
    <w:rsid w:val="000748AA"/>
    <w:rsid w:val="0007656C"/>
    <w:rsid w:val="00076664"/>
    <w:rsid w:val="000772E5"/>
    <w:rsid w:val="00077468"/>
    <w:rsid w:val="00077E5F"/>
    <w:rsid w:val="0008036A"/>
    <w:rsid w:val="00081160"/>
    <w:rsid w:val="00081275"/>
    <w:rsid w:val="000818E3"/>
    <w:rsid w:val="0008193D"/>
    <w:rsid w:val="00081AE6"/>
    <w:rsid w:val="00082E39"/>
    <w:rsid w:val="00082F16"/>
    <w:rsid w:val="00083DD8"/>
    <w:rsid w:val="000855EB"/>
    <w:rsid w:val="00085B52"/>
    <w:rsid w:val="00085DE1"/>
    <w:rsid w:val="0008609F"/>
    <w:rsid w:val="000861C0"/>
    <w:rsid w:val="000866F2"/>
    <w:rsid w:val="0008768D"/>
    <w:rsid w:val="0009009F"/>
    <w:rsid w:val="00091557"/>
    <w:rsid w:val="000924C1"/>
    <w:rsid w:val="000924F0"/>
    <w:rsid w:val="00093474"/>
    <w:rsid w:val="0009510F"/>
    <w:rsid w:val="000A0EE1"/>
    <w:rsid w:val="000A1B7B"/>
    <w:rsid w:val="000A2E37"/>
    <w:rsid w:val="000A4E39"/>
    <w:rsid w:val="000A5107"/>
    <w:rsid w:val="000A56F2"/>
    <w:rsid w:val="000A572C"/>
    <w:rsid w:val="000A5AB1"/>
    <w:rsid w:val="000A7565"/>
    <w:rsid w:val="000B078B"/>
    <w:rsid w:val="000B2719"/>
    <w:rsid w:val="000B2B54"/>
    <w:rsid w:val="000B338D"/>
    <w:rsid w:val="000B3A8F"/>
    <w:rsid w:val="000B4AB9"/>
    <w:rsid w:val="000B58C3"/>
    <w:rsid w:val="000B5B4E"/>
    <w:rsid w:val="000B61E9"/>
    <w:rsid w:val="000B62B0"/>
    <w:rsid w:val="000B71EB"/>
    <w:rsid w:val="000C11B8"/>
    <w:rsid w:val="000C1635"/>
    <w:rsid w:val="000C165A"/>
    <w:rsid w:val="000C1E47"/>
    <w:rsid w:val="000C2E19"/>
    <w:rsid w:val="000C35DE"/>
    <w:rsid w:val="000C3C55"/>
    <w:rsid w:val="000C4ABC"/>
    <w:rsid w:val="000C4F3E"/>
    <w:rsid w:val="000C51EC"/>
    <w:rsid w:val="000C5BC4"/>
    <w:rsid w:val="000C5FD2"/>
    <w:rsid w:val="000C7E89"/>
    <w:rsid w:val="000D0D07"/>
    <w:rsid w:val="000D0F3D"/>
    <w:rsid w:val="000D11B1"/>
    <w:rsid w:val="000D1A95"/>
    <w:rsid w:val="000D34AE"/>
    <w:rsid w:val="000D3D4C"/>
    <w:rsid w:val="000D3E90"/>
    <w:rsid w:val="000D3FAE"/>
    <w:rsid w:val="000D4797"/>
    <w:rsid w:val="000D7F1F"/>
    <w:rsid w:val="000E03AA"/>
    <w:rsid w:val="000E0527"/>
    <w:rsid w:val="000E1992"/>
    <w:rsid w:val="000E1ACB"/>
    <w:rsid w:val="000E1E92"/>
    <w:rsid w:val="000E369D"/>
    <w:rsid w:val="000E36AB"/>
    <w:rsid w:val="000E5128"/>
    <w:rsid w:val="000E5C6C"/>
    <w:rsid w:val="000F04FB"/>
    <w:rsid w:val="000F06D6"/>
    <w:rsid w:val="000F0EB1"/>
    <w:rsid w:val="000F1106"/>
    <w:rsid w:val="000F30DE"/>
    <w:rsid w:val="000F36A4"/>
    <w:rsid w:val="000F3BE9"/>
    <w:rsid w:val="000F3F6C"/>
    <w:rsid w:val="000F549D"/>
    <w:rsid w:val="000F6DF3"/>
    <w:rsid w:val="000F7253"/>
    <w:rsid w:val="001005FF"/>
    <w:rsid w:val="00100AFD"/>
    <w:rsid w:val="00100C92"/>
    <w:rsid w:val="00101189"/>
    <w:rsid w:val="0010122A"/>
    <w:rsid w:val="001012D2"/>
    <w:rsid w:val="00102613"/>
    <w:rsid w:val="00102E1D"/>
    <w:rsid w:val="00103408"/>
    <w:rsid w:val="001049DF"/>
    <w:rsid w:val="00104E94"/>
    <w:rsid w:val="001054AB"/>
    <w:rsid w:val="00105EE7"/>
    <w:rsid w:val="001062FB"/>
    <w:rsid w:val="001063E6"/>
    <w:rsid w:val="00106769"/>
    <w:rsid w:val="00111CDC"/>
    <w:rsid w:val="00112A85"/>
    <w:rsid w:val="00113CF4"/>
    <w:rsid w:val="00114AE3"/>
    <w:rsid w:val="001153EA"/>
    <w:rsid w:val="00115643"/>
    <w:rsid w:val="0011566C"/>
    <w:rsid w:val="00116765"/>
    <w:rsid w:val="0011691C"/>
    <w:rsid w:val="00117814"/>
    <w:rsid w:val="001203BF"/>
    <w:rsid w:val="00120AD4"/>
    <w:rsid w:val="001219F5"/>
    <w:rsid w:val="00121A20"/>
    <w:rsid w:val="00122257"/>
    <w:rsid w:val="00122396"/>
    <w:rsid w:val="00122750"/>
    <w:rsid w:val="0012278F"/>
    <w:rsid w:val="001231C0"/>
    <w:rsid w:val="0012377F"/>
    <w:rsid w:val="00124314"/>
    <w:rsid w:val="001265BC"/>
    <w:rsid w:val="00126681"/>
    <w:rsid w:val="00126B4A"/>
    <w:rsid w:val="001302EE"/>
    <w:rsid w:val="0013030B"/>
    <w:rsid w:val="00130848"/>
    <w:rsid w:val="00130DF5"/>
    <w:rsid w:val="001319B4"/>
    <w:rsid w:val="00131BAD"/>
    <w:rsid w:val="001328BF"/>
    <w:rsid w:val="00132FD0"/>
    <w:rsid w:val="00133DD3"/>
    <w:rsid w:val="00133F6C"/>
    <w:rsid w:val="001344C0"/>
    <w:rsid w:val="001346FA"/>
    <w:rsid w:val="00135252"/>
    <w:rsid w:val="001367A8"/>
    <w:rsid w:val="0013799E"/>
    <w:rsid w:val="00137AB5"/>
    <w:rsid w:val="00137F0B"/>
    <w:rsid w:val="001441C4"/>
    <w:rsid w:val="00145D22"/>
    <w:rsid w:val="00150274"/>
    <w:rsid w:val="00150454"/>
    <w:rsid w:val="00151E23"/>
    <w:rsid w:val="001526E0"/>
    <w:rsid w:val="00152952"/>
    <w:rsid w:val="00152D92"/>
    <w:rsid w:val="00153AE3"/>
    <w:rsid w:val="001551B5"/>
    <w:rsid w:val="0015738C"/>
    <w:rsid w:val="0016097D"/>
    <w:rsid w:val="00161575"/>
    <w:rsid w:val="001639D9"/>
    <w:rsid w:val="00164330"/>
    <w:rsid w:val="00165157"/>
    <w:rsid w:val="001659C1"/>
    <w:rsid w:val="00170753"/>
    <w:rsid w:val="00170E05"/>
    <w:rsid w:val="00173A8E"/>
    <w:rsid w:val="0017502C"/>
    <w:rsid w:val="00175171"/>
    <w:rsid w:val="0017667F"/>
    <w:rsid w:val="00180BFA"/>
    <w:rsid w:val="0018143F"/>
    <w:rsid w:val="00181B51"/>
    <w:rsid w:val="00181B60"/>
    <w:rsid w:val="00181FF8"/>
    <w:rsid w:val="001829DC"/>
    <w:rsid w:val="00183E41"/>
    <w:rsid w:val="001842B0"/>
    <w:rsid w:val="00185D44"/>
    <w:rsid w:val="00185E4A"/>
    <w:rsid w:val="001870A7"/>
    <w:rsid w:val="00190AC1"/>
    <w:rsid w:val="00192772"/>
    <w:rsid w:val="0019286B"/>
    <w:rsid w:val="0019341A"/>
    <w:rsid w:val="001943AC"/>
    <w:rsid w:val="00194482"/>
    <w:rsid w:val="001947FB"/>
    <w:rsid w:val="00195B0A"/>
    <w:rsid w:val="00197437"/>
    <w:rsid w:val="00197DF9"/>
    <w:rsid w:val="001A0FA2"/>
    <w:rsid w:val="001A1065"/>
    <w:rsid w:val="001A1987"/>
    <w:rsid w:val="001A1C62"/>
    <w:rsid w:val="001A2564"/>
    <w:rsid w:val="001A26DD"/>
    <w:rsid w:val="001A29D7"/>
    <w:rsid w:val="001A5C53"/>
    <w:rsid w:val="001A5F42"/>
    <w:rsid w:val="001A6173"/>
    <w:rsid w:val="001A6240"/>
    <w:rsid w:val="001A68CD"/>
    <w:rsid w:val="001A6CBA"/>
    <w:rsid w:val="001A7775"/>
    <w:rsid w:val="001A7CE7"/>
    <w:rsid w:val="001B0A45"/>
    <w:rsid w:val="001B0D97"/>
    <w:rsid w:val="001B15CB"/>
    <w:rsid w:val="001B234C"/>
    <w:rsid w:val="001B2D95"/>
    <w:rsid w:val="001B3927"/>
    <w:rsid w:val="001B46CD"/>
    <w:rsid w:val="001B5A5D"/>
    <w:rsid w:val="001B5E5B"/>
    <w:rsid w:val="001B7213"/>
    <w:rsid w:val="001C0399"/>
    <w:rsid w:val="001C1CE5"/>
    <w:rsid w:val="001C3CF1"/>
    <w:rsid w:val="001C3D2A"/>
    <w:rsid w:val="001C3DC9"/>
    <w:rsid w:val="001C66F3"/>
    <w:rsid w:val="001D0256"/>
    <w:rsid w:val="001D17C6"/>
    <w:rsid w:val="001D342C"/>
    <w:rsid w:val="001D41BB"/>
    <w:rsid w:val="001D51BA"/>
    <w:rsid w:val="001D53E7"/>
    <w:rsid w:val="001D6342"/>
    <w:rsid w:val="001D68F1"/>
    <w:rsid w:val="001D6D53"/>
    <w:rsid w:val="001D75A3"/>
    <w:rsid w:val="001D78C0"/>
    <w:rsid w:val="001D7F6D"/>
    <w:rsid w:val="001E1105"/>
    <w:rsid w:val="001E1624"/>
    <w:rsid w:val="001E3FB6"/>
    <w:rsid w:val="001E519E"/>
    <w:rsid w:val="001E5281"/>
    <w:rsid w:val="001E58E2"/>
    <w:rsid w:val="001E5AF7"/>
    <w:rsid w:val="001E7AED"/>
    <w:rsid w:val="001E7FC3"/>
    <w:rsid w:val="001F0300"/>
    <w:rsid w:val="001F04F8"/>
    <w:rsid w:val="001F3916"/>
    <w:rsid w:val="001F3CCB"/>
    <w:rsid w:val="001F4667"/>
    <w:rsid w:val="001F4B8D"/>
    <w:rsid w:val="001F54C5"/>
    <w:rsid w:val="001F662C"/>
    <w:rsid w:val="001F6822"/>
    <w:rsid w:val="001F7074"/>
    <w:rsid w:val="001F7625"/>
    <w:rsid w:val="001F764B"/>
    <w:rsid w:val="00200490"/>
    <w:rsid w:val="002004C9"/>
    <w:rsid w:val="00201059"/>
    <w:rsid w:val="002014DD"/>
    <w:rsid w:val="00201F3A"/>
    <w:rsid w:val="00202CC7"/>
    <w:rsid w:val="00203F96"/>
    <w:rsid w:val="0020499E"/>
    <w:rsid w:val="00205997"/>
    <w:rsid w:val="002069B2"/>
    <w:rsid w:val="00207C8E"/>
    <w:rsid w:val="00207FA3"/>
    <w:rsid w:val="00213C2A"/>
    <w:rsid w:val="00214511"/>
    <w:rsid w:val="00214DA8"/>
    <w:rsid w:val="00215423"/>
    <w:rsid w:val="002158FA"/>
    <w:rsid w:val="00215DC5"/>
    <w:rsid w:val="00217921"/>
    <w:rsid w:val="00220600"/>
    <w:rsid w:val="00221597"/>
    <w:rsid w:val="002224DB"/>
    <w:rsid w:val="00222949"/>
    <w:rsid w:val="00223F38"/>
    <w:rsid w:val="00223FCB"/>
    <w:rsid w:val="00223FEB"/>
    <w:rsid w:val="002252C3"/>
    <w:rsid w:val="00225C54"/>
    <w:rsid w:val="00225F3A"/>
    <w:rsid w:val="00225F68"/>
    <w:rsid w:val="0022614E"/>
    <w:rsid w:val="0022645F"/>
    <w:rsid w:val="00226F46"/>
    <w:rsid w:val="00227475"/>
    <w:rsid w:val="00230765"/>
    <w:rsid w:val="00230D18"/>
    <w:rsid w:val="00230FFB"/>
    <w:rsid w:val="002319E4"/>
    <w:rsid w:val="00231BC9"/>
    <w:rsid w:val="00232907"/>
    <w:rsid w:val="00232E4E"/>
    <w:rsid w:val="002338B3"/>
    <w:rsid w:val="002339BB"/>
    <w:rsid w:val="00234712"/>
    <w:rsid w:val="002348C7"/>
    <w:rsid w:val="00234EFA"/>
    <w:rsid w:val="00235632"/>
    <w:rsid w:val="00235872"/>
    <w:rsid w:val="0023684E"/>
    <w:rsid w:val="002403E6"/>
    <w:rsid w:val="0024044A"/>
    <w:rsid w:val="00240BB4"/>
    <w:rsid w:val="00240D32"/>
    <w:rsid w:val="00241559"/>
    <w:rsid w:val="002435B3"/>
    <w:rsid w:val="00243719"/>
    <w:rsid w:val="0024388E"/>
    <w:rsid w:val="00244336"/>
    <w:rsid w:val="002458EB"/>
    <w:rsid w:val="002500C8"/>
    <w:rsid w:val="00251882"/>
    <w:rsid w:val="00251BEB"/>
    <w:rsid w:val="00252826"/>
    <w:rsid w:val="00252A8A"/>
    <w:rsid w:val="00253136"/>
    <w:rsid w:val="00255A48"/>
    <w:rsid w:val="00256C89"/>
    <w:rsid w:val="00257543"/>
    <w:rsid w:val="002617E7"/>
    <w:rsid w:val="00262BCE"/>
    <w:rsid w:val="0026331C"/>
    <w:rsid w:val="00264228"/>
    <w:rsid w:val="00264334"/>
    <w:rsid w:val="0026473E"/>
    <w:rsid w:val="00265917"/>
    <w:rsid w:val="00265AF8"/>
    <w:rsid w:val="00265CD7"/>
    <w:rsid w:val="00265FC8"/>
    <w:rsid w:val="00266214"/>
    <w:rsid w:val="00267C83"/>
    <w:rsid w:val="00270874"/>
    <w:rsid w:val="0027144F"/>
    <w:rsid w:val="00271813"/>
    <w:rsid w:val="00271F3A"/>
    <w:rsid w:val="00272923"/>
    <w:rsid w:val="002731F9"/>
    <w:rsid w:val="00273278"/>
    <w:rsid w:val="002737F4"/>
    <w:rsid w:val="00274897"/>
    <w:rsid w:val="002760A7"/>
    <w:rsid w:val="00276165"/>
    <w:rsid w:val="002805F5"/>
    <w:rsid w:val="00280751"/>
    <w:rsid w:val="0028280A"/>
    <w:rsid w:val="00283132"/>
    <w:rsid w:val="00283EC6"/>
    <w:rsid w:val="00284EBB"/>
    <w:rsid w:val="0028587E"/>
    <w:rsid w:val="002862CA"/>
    <w:rsid w:val="00286ACD"/>
    <w:rsid w:val="00287838"/>
    <w:rsid w:val="002907B5"/>
    <w:rsid w:val="002912EC"/>
    <w:rsid w:val="00291CB8"/>
    <w:rsid w:val="00292DCF"/>
    <w:rsid w:val="00292EB7"/>
    <w:rsid w:val="002944C4"/>
    <w:rsid w:val="00294CC3"/>
    <w:rsid w:val="00294DE3"/>
    <w:rsid w:val="00296227"/>
    <w:rsid w:val="00296F44"/>
    <w:rsid w:val="0029777D"/>
    <w:rsid w:val="002979E3"/>
    <w:rsid w:val="00297CE7"/>
    <w:rsid w:val="002A055E"/>
    <w:rsid w:val="002A0EB7"/>
    <w:rsid w:val="002A1586"/>
    <w:rsid w:val="002A1D4E"/>
    <w:rsid w:val="002A2869"/>
    <w:rsid w:val="002A30B8"/>
    <w:rsid w:val="002A3485"/>
    <w:rsid w:val="002A4470"/>
    <w:rsid w:val="002A6660"/>
    <w:rsid w:val="002A7558"/>
    <w:rsid w:val="002A7BFB"/>
    <w:rsid w:val="002B040E"/>
    <w:rsid w:val="002B07F0"/>
    <w:rsid w:val="002B1283"/>
    <w:rsid w:val="002B17BB"/>
    <w:rsid w:val="002B24D6"/>
    <w:rsid w:val="002B2A65"/>
    <w:rsid w:val="002B2BA9"/>
    <w:rsid w:val="002B3949"/>
    <w:rsid w:val="002B554C"/>
    <w:rsid w:val="002B5D42"/>
    <w:rsid w:val="002B626A"/>
    <w:rsid w:val="002C25C4"/>
    <w:rsid w:val="002C397F"/>
    <w:rsid w:val="002C4191"/>
    <w:rsid w:val="002C41E6"/>
    <w:rsid w:val="002C4E9F"/>
    <w:rsid w:val="002C7C24"/>
    <w:rsid w:val="002D071A"/>
    <w:rsid w:val="002D0762"/>
    <w:rsid w:val="002D133B"/>
    <w:rsid w:val="002D34B2"/>
    <w:rsid w:val="002D48B0"/>
    <w:rsid w:val="002D4FF1"/>
    <w:rsid w:val="002D5B37"/>
    <w:rsid w:val="002D5C5E"/>
    <w:rsid w:val="002D606B"/>
    <w:rsid w:val="002D7637"/>
    <w:rsid w:val="002E17F2"/>
    <w:rsid w:val="002E58BF"/>
    <w:rsid w:val="002E5CC3"/>
    <w:rsid w:val="002E6F3F"/>
    <w:rsid w:val="002E7664"/>
    <w:rsid w:val="002E76DD"/>
    <w:rsid w:val="002E7CAE"/>
    <w:rsid w:val="002F0294"/>
    <w:rsid w:val="002F0A41"/>
    <w:rsid w:val="002F2771"/>
    <w:rsid w:val="002F28B6"/>
    <w:rsid w:val="002F2AEF"/>
    <w:rsid w:val="002F37A9"/>
    <w:rsid w:val="002F41A8"/>
    <w:rsid w:val="002F5597"/>
    <w:rsid w:val="002F5755"/>
    <w:rsid w:val="002F5CE4"/>
    <w:rsid w:val="002F74B7"/>
    <w:rsid w:val="00301CE6"/>
    <w:rsid w:val="00301DC0"/>
    <w:rsid w:val="00302103"/>
    <w:rsid w:val="00302203"/>
    <w:rsid w:val="0030256B"/>
    <w:rsid w:val="00303629"/>
    <w:rsid w:val="00303D64"/>
    <w:rsid w:val="0030501F"/>
    <w:rsid w:val="00307BA1"/>
    <w:rsid w:val="00310DD3"/>
    <w:rsid w:val="00311702"/>
    <w:rsid w:val="003118FF"/>
    <w:rsid w:val="00311E82"/>
    <w:rsid w:val="00313CE9"/>
    <w:rsid w:val="00313FD6"/>
    <w:rsid w:val="003143BD"/>
    <w:rsid w:val="00315363"/>
    <w:rsid w:val="00316BEF"/>
    <w:rsid w:val="003203ED"/>
    <w:rsid w:val="003212D6"/>
    <w:rsid w:val="003221D2"/>
    <w:rsid w:val="00322C9F"/>
    <w:rsid w:val="0032382C"/>
    <w:rsid w:val="0032419B"/>
    <w:rsid w:val="003243CF"/>
    <w:rsid w:val="00324D23"/>
    <w:rsid w:val="0032572C"/>
    <w:rsid w:val="00327F11"/>
    <w:rsid w:val="003308CF"/>
    <w:rsid w:val="00331751"/>
    <w:rsid w:val="00332261"/>
    <w:rsid w:val="00332AA7"/>
    <w:rsid w:val="003342F0"/>
    <w:rsid w:val="00334579"/>
    <w:rsid w:val="00334CC0"/>
    <w:rsid w:val="00335858"/>
    <w:rsid w:val="0033603E"/>
    <w:rsid w:val="003369EC"/>
    <w:rsid w:val="00336BDA"/>
    <w:rsid w:val="00337380"/>
    <w:rsid w:val="00342BD7"/>
    <w:rsid w:val="00343135"/>
    <w:rsid w:val="00346DB5"/>
    <w:rsid w:val="003477B1"/>
    <w:rsid w:val="00350747"/>
    <w:rsid w:val="0035271C"/>
    <w:rsid w:val="003551C2"/>
    <w:rsid w:val="00355CC2"/>
    <w:rsid w:val="00356674"/>
    <w:rsid w:val="00357380"/>
    <w:rsid w:val="00357B0D"/>
    <w:rsid w:val="00360084"/>
    <w:rsid w:val="003602D9"/>
    <w:rsid w:val="003604CE"/>
    <w:rsid w:val="00361FC2"/>
    <w:rsid w:val="00364AC5"/>
    <w:rsid w:val="003661BD"/>
    <w:rsid w:val="00370BF4"/>
    <w:rsid w:val="00370E47"/>
    <w:rsid w:val="00370F25"/>
    <w:rsid w:val="003742AC"/>
    <w:rsid w:val="0037443F"/>
    <w:rsid w:val="00374ABA"/>
    <w:rsid w:val="00377CE1"/>
    <w:rsid w:val="00381F4F"/>
    <w:rsid w:val="00384A51"/>
    <w:rsid w:val="00384B85"/>
    <w:rsid w:val="00385B80"/>
    <w:rsid w:val="00385BF0"/>
    <w:rsid w:val="0039094C"/>
    <w:rsid w:val="00392526"/>
    <w:rsid w:val="00392907"/>
    <w:rsid w:val="003939FF"/>
    <w:rsid w:val="003945E3"/>
    <w:rsid w:val="00395BA5"/>
    <w:rsid w:val="003965CD"/>
    <w:rsid w:val="003969A3"/>
    <w:rsid w:val="00396D2D"/>
    <w:rsid w:val="003A1751"/>
    <w:rsid w:val="003A1980"/>
    <w:rsid w:val="003A21E2"/>
    <w:rsid w:val="003A2223"/>
    <w:rsid w:val="003A2429"/>
    <w:rsid w:val="003A281B"/>
    <w:rsid w:val="003A2A0F"/>
    <w:rsid w:val="003A2B9F"/>
    <w:rsid w:val="003A45A1"/>
    <w:rsid w:val="003A4929"/>
    <w:rsid w:val="003A5B0A"/>
    <w:rsid w:val="003A6BAC"/>
    <w:rsid w:val="003A6C93"/>
    <w:rsid w:val="003A70A4"/>
    <w:rsid w:val="003A7EF3"/>
    <w:rsid w:val="003B10DC"/>
    <w:rsid w:val="003B159C"/>
    <w:rsid w:val="003B369F"/>
    <w:rsid w:val="003B36A3"/>
    <w:rsid w:val="003B560D"/>
    <w:rsid w:val="003B57F1"/>
    <w:rsid w:val="003B64BB"/>
    <w:rsid w:val="003B7FE5"/>
    <w:rsid w:val="003C11C8"/>
    <w:rsid w:val="003C20D7"/>
    <w:rsid w:val="003C2702"/>
    <w:rsid w:val="003C28B7"/>
    <w:rsid w:val="003C2F92"/>
    <w:rsid w:val="003C3AD6"/>
    <w:rsid w:val="003C4C6E"/>
    <w:rsid w:val="003C6845"/>
    <w:rsid w:val="003C6B30"/>
    <w:rsid w:val="003C6DD9"/>
    <w:rsid w:val="003C7806"/>
    <w:rsid w:val="003C7BBB"/>
    <w:rsid w:val="003D109F"/>
    <w:rsid w:val="003D1640"/>
    <w:rsid w:val="003D23B9"/>
    <w:rsid w:val="003D2478"/>
    <w:rsid w:val="003D291D"/>
    <w:rsid w:val="003D3C45"/>
    <w:rsid w:val="003D4C48"/>
    <w:rsid w:val="003D5B1F"/>
    <w:rsid w:val="003D61A0"/>
    <w:rsid w:val="003D6988"/>
    <w:rsid w:val="003D737A"/>
    <w:rsid w:val="003D7CD1"/>
    <w:rsid w:val="003E092C"/>
    <w:rsid w:val="003E15FA"/>
    <w:rsid w:val="003E4088"/>
    <w:rsid w:val="003E4CF3"/>
    <w:rsid w:val="003E55E4"/>
    <w:rsid w:val="003E6476"/>
    <w:rsid w:val="003E67E8"/>
    <w:rsid w:val="003E74E3"/>
    <w:rsid w:val="003E7C31"/>
    <w:rsid w:val="003F05C7"/>
    <w:rsid w:val="003F1B9C"/>
    <w:rsid w:val="003F20AB"/>
    <w:rsid w:val="003F20CF"/>
    <w:rsid w:val="003F2CD4"/>
    <w:rsid w:val="003F42FA"/>
    <w:rsid w:val="003F67E0"/>
    <w:rsid w:val="003F6BBE"/>
    <w:rsid w:val="004000E8"/>
    <w:rsid w:val="004001ED"/>
    <w:rsid w:val="00400994"/>
    <w:rsid w:val="00402E2B"/>
    <w:rsid w:val="00404DAD"/>
    <w:rsid w:val="0040512B"/>
    <w:rsid w:val="00405217"/>
    <w:rsid w:val="00405CA5"/>
    <w:rsid w:val="00406057"/>
    <w:rsid w:val="00407A77"/>
    <w:rsid w:val="00407CD3"/>
    <w:rsid w:val="00410134"/>
    <w:rsid w:val="00410B72"/>
    <w:rsid w:val="00410F18"/>
    <w:rsid w:val="00411A4C"/>
    <w:rsid w:val="0041263E"/>
    <w:rsid w:val="0041309D"/>
    <w:rsid w:val="00413A59"/>
    <w:rsid w:val="00413AAC"/>
    <w:rsid w:val="00413E92"/>
    <w:rsid w:val="00415E26"/>
    <w:rsid w:val="00416169"/>
    <w:rsid w:val="00416222"/>
    <w:rsid w:val="00416CD9"/>
    <w:rsid w:val="00416E10"/>
    <w:rsid w:val="00417250"/>
    <w:rsid w:val="00420CED"/>
    <w:rsid w:val="00421105"/>
    <w:rsid w:val="004229D9"/>
    <w:rsid w:val="00422AA4"/>
    <w:rsid w:val="00423F07"/>
    <w:rsid w:val="004242AA"/>
    <w:rsid w:val="004242F4"/>
    <w:rsid w:val="00426121"/>
    <w:rsid w:val="00427248"/>
    <w:rsid w:val="004307ED"/>
    <w:rsid w:val="00431ABD"/>
    <w:rsid w:val="00433456"/>
    <w:rsid w:val="004344F7"/>
    <w:rsid w:val="00436E77"/>
    <w:rsid w:val="00437013"/>
    <w:rsid w:val="00437447"/>
    <w:rsid w:val="00441050"/>
    <w:rsid w:val="00441A92"/>
    <w:rsid w:val="00441F68"/>
    <w:rsid w:val="004431DC"/>
    <w:rsid w:val="00444401"/>
    <w:rsid w:val="004447E2"/>
    <w:rsid w:val="00444F56"/>
    <w:rsid w:val="00446488"/>
    <w:rsid w:val="00446CAF"/>
    <w:rsid w:val="0045063E"/>
    <w:rsid w:val="00450D69"/>
    <w:rsid w:val="00451656"/>
    <w:rsid w:val="004517AA"/>
    <w:rsid w:val="00452CAC"/>
    <w:rsid w:val="00452E84"/>
    <w:rsid w:val="0045377B"/>
    <w:rsid w:val="004552EF"/>
    <w:rsid w:val="00457565"/>
    <w:rsid w:val="00457944"/>
    <w:rsid w:val="0045799C"/>
    <w:rsid w:val="00457B71"/>
    <w:rsid w:val="00460877"/>
    <w:rsid w:val="00461D09"/>
    <w:rsid w:val="00462956"/>
    <w:rsid w:val="00462D73"/>
    <w:rsid w:val="00465B02"/>
    <w:rsid w:val="004669E2"/>
    <w:rsid w:val="00466B76"/>
    <w:rsid w:val="00467D9C"/>
    <w:rsid w:val="00470C31"/>
    <w:rsid w:val="004711AF"/>
    <w:rsid w:val="00471DE0"/>
    <w:rsid w:val="004724E3"/>
    <w:rsid w:val="004734D0"/>
    <w:rsid w:val="00474CD6"/>
    <w:rsid w:val="0047556B"/>
    <w:rsid w:val="00475FF6"/>
    <w:rsid w:val="00476D1F"/>
    <w:rsid w:val="00477768"/>
    <w:rsid w:val="00482F3C"/>
    <w:rsid w:val="00485B07"/>
    <w:rsid w:val="00485E45"/>
    <w:rsid w:val="00487DAF"/>
    <w:rsid w:val="0049004F"/>
    <w:rsid w:val="00492BC5"/>
    <w:rsid w:val="0049389D"/>
    <w:rsid w:val="004944D0"/>
    <w:rsid w:val="004964F1"/>
    <w:rsid w:val="004965C0"/>
    <w:rsid w:val="004A0AB3"/>
    <w:rsid w:val="004A0BB7"/>
    <w:rsid w:val="004A0E7D"/>
    <w:rsid w:val="004A16BC"/>
    <w:rsid w:val="004A1C9B"/>
    <w:rsid w:val="004A2B94"/>
    <w:rsid w:val="004A2E76"/>
    <w:rsid w:val="004A3D4D"/>
    <w:rsid w:val="004A49D8"/>
    <w:rsid w:val="004A5C6C"/>
    <w:rsid w:val="004A5EB7"/>
    <w:rsid w:val="004A7B6B"/>
    <w:rsid w:val="004B581F"/>
    <w:rsid w:val="004B6A22"/>
    <w:rsid w:val="004B6F6A"/>
    <w:rsid w:val="004B74ED"/>
    <w:rsid w:val="004B79D1"/>
    <w:rsid w:val="004B7C0C"/>
    <w:rsid w:val="004C0097"/>
    <w:rsid w:val="004C0FD0"/>
    <w:rsid w:val="004C150B"/>
    <w:rsid w:val="004C20A7"/>
    <w:rsid w:val="004C3898"/>
    <w:rsid w:val="004C507E"/>
    <w:rsid w:val="004C5B41"/>
    <w:rsid w:val="004C5F60"/>
    <w:rsid w:val="004C6F5F"/>
    <w:rsid w:val="004C7106"/>
    <w:rsid w:val="004C7250"/>
    <w:rsid w:val="004D19E1"/>
    <w:rsid w:val="004D1FE7"/>
    <w:rsid w:val="004D3624"/>
    <w:rsid w:val="004D36B1"/>
    <w:rsid w:val="004D5CEA"/>
    <w:rsid w:val="004D6209"/>
    <w:rsid w:val="004D6285"/>
    <w:rsid w:val="004D7EBD"/>
    <w:rsid w:val="004E1592"/>
    <w:rsid w:val="004E227F"/>
    <w:rsid w:val="004E2680"/>
    <w:rsid w:val="004E28F9"/>
    <w:rsid w:val="004E462E"/>
    <w:rsid w:val="004E56DC"/>
    <w:rsid w:val="004E5D8D"/>
    <w:rsid w:val="004E6772"/>
    <w:rsid w:val="004E6C03"/>
    <w:rsid w:val="004E76F4"/>
    <w:rsid w:val="004E77CA"/>
    <w:rsid w:val="004F01B6"/>
    <w:rsid w:val="004F0623"/>
    <w:rsid w:val="004F0B4E"/>
    <w:rsid w:val="004F0B6C"/>
    <w:rsid w:val="004F15FE"/>
    <w:rsid w:val="004F2078"/>
    <w:rsid w:val="004F218A"/>
    <w:rsid w:val="004F24D8"/>
    <w:rsid w:val="004F2A0C"/>
    <w:rsid w:val="004F46A4"/>
    <w:rsid w:val="004F471C"/>
    <w:rsid w:val="004F4DA3"/>
    <w:rsid w:val="004F57D6"/>
    <w:rsid w:val="004F7CF3"/>
    <w:rsid w:val="00501DE3"/>
    <w:rsid w:val="00502941"/>
    <w:rsid w:val="005029D7"/>
    <w:rsid w:val="00503844"/>
    <w:rsid w:val="00503D52"/>
    <w:rsid w:val="005055DA"/>
    <w:rsid w:val="00506557"/>
    <w:rsid w:val="00506606"/>
    <w:rsid w:val="0050677A"/>
    <w:rsid w:val="00506FB2"/>
    <w:rsid w:val="005108D8"/>
    <w:rsid w:val="00510F51"/>
    <w:rsid w:val="005116F9"/>
    <w:rsid w:val="00512880"/>
    <w:rsid w:val="00514158"/>
    <w:rsid w:val="005153A7"/>
    <w:rsid w:val="005164E1"/>
    <w:rsid w:val="005164FE"/>
    <w:rsid w:val="00516BAB"/>
    <w:rsid w:val="00517998"/>
    <w:rsid w:val="005219CF"/>
    <w:rsid w:val="0052310E"/>
    <w:rsid w:val="0052326B"/>
    <w:rsid w:val="0052396F"/>
    <w:rsid w:val="00523C03"/>
    <w:rsid w:val="00524BCC"/>
    <w:rsid w:val="00525EBA"/>
    <w:rsid w:val="0053110D"/>
    <w:rsid w:val="00532284"/>
    <w:rsid w:val="0053334B"/>
    <w:rsid w:val="005342AA"/>
    <w:rsid w:val="00534B59"/>
    <w:rsid w:val="00534D73"/>
    <w:rsid w:val="005360F9"/>
    <w:rsid w:val="00536759"/>
    <w:rsid w:val="00536830"/>
    <w:rsid w:val="00536E0C"/>
    <w:rsid w:val="005379CC"/>
    <w:rsid w:val="00537C62"/>
    <w:rsid w:val="00540525"/>
    <w:rsid w:val="00540750"/>
    <w:rsid w:val="0054141C"/>
    <w:rsid w:val="00542B1A"/>
    <w:rsid w:val="00542B6D"/>
    <w:rsid w:val="00542F12"/>
    <w:rsid w:val="0054455C"/>
    <w:rsid w:val="0054551E"/>
    <w:rsid w:val="00545707"/>
    <w:rsid w:val="00546970"/>
    <w:rsid w:val="00550919"/>
    <w:rsid w:val="00551925"/>
    <w:rsid w:val="00552D17"/>
    <w:rsid w:val="0055306A"/>
    <w:rsid w:val="00554356"/>
    <w:rsid w:val="00554E19"/>
    <w:rsid w:val="005565C7"/>
    <w:rsid w:val="005572E2"/>
    <w:rsid w:val="00560227"/>
    <w:rsid w:val="0056121F"/>
    <w:rsid w:val="005645A3"/>
    <w:rsid w:val="00565FFB"/>
    <w:rsid w:val="00567C88"/>
    <w:rsid w:val="005717AE"/>
    <w:rsid w:val="00572505"/>
    <w:rsid w:val="005750EA"/>
    <w:rsid w:val="00575D7E"/>
    <w:rsid w:val="00582421"/>
    <w:rsid w:val="00582809"/>
    <w:rsid w:val="00583709"/>
    <w:rsid w:val="00586A19"/>
    <w:rsid w:val="0058798C"/>
    <w:rsid w:val="005900FA"/>
    <w:rsid w:val="005901B7"/>
    <w:rsid w:val="00590836"/>
    <w:rsid w:val="00592298"/>
    <w:rsid w:val="00592655"/>
    <w:rsid w:val="005935A4"/>
    <w:rsid w:val="0059431D"/>
    <w:rsid w:val="005948C2"/>
    <w:rsid w:val="00595DCA"/>
    <w:rsid w:val="0059779B"/>
    <w:rsid w:val="005A209A"/>
    <w:rsid w:val="005A312B"/>
    <w:rsid w:val="005A450E"/>
    <w:rsid w:val="005A492C"/>
    <w:rsid w:val="005A5946"/>
    <w:rsid w:val="005A5FCE"/>
    <w:rsid w:val="005A662D"/>
    <w:rsid w:val="005B062F"/>
    <w:rsid w:val="005B1409"/>
    <w:rsid w:val="005B322A"/>
    <w:rsid w:val="005B35D7"/>
    <w:rsid w:val="005B392A"/>
    <w:rsid w:val="005B3AA3"/>
    <w:rsid w:val="005B470A"/>
    <w:rsid w:val="005B5AAB"/>
    <w:rsid w:val="005B6CB1"/>
    <w:rsid w:val="005B6F09"/>
    <w:rsid w:val="005B6F83"/>
    <w:rsid w:val="005C0275"/>
    <w:rsid w:val="005C051B"/>
    <w:rsid w:val="005C1BD1"/>
    <w:rsid w:val="005C425F"/>
    <w:rsid w:val="005C4577"/>
    <w:rsid w:val="005C479A"/>
    <w:rsid w:val="005C48D1"/>
    <w:rsid w:val="005C4996"/>
    <w:rsid w:val="005C4F3E"/>
    <w:rsid w:val="005C59B8"/>
    <w:rsid w:val="005C660C"/>
    <w:rsid w:val="005C74FB"/>
    <w:rsid w:val="005C7F0D"/>
    <w:rsid w:val="005D1203"/>
    <w:rsid w:val="005D1602"/>
    <w:rsid w:val="005D25D1"/>
    <w:rsid w:val="005D2D30"/>
    <w:rsid w:val="005D39DE"/>
    <w:rsid w:val="005D3C19"/>
    <w:rsid w:val="005D4FDF"/>
    <w:rsid w:val="005D4FF9"/>
    <w:rsid w:val="005E385F"/>
    <w:rsid w:val="005E5632"/>
    <w:rsid w:val="005E5B81"/>
    <w:rsid w:val="005E6570"/>
    <w:rsid w:val="005E764C"/>
    <w:rsid w:val="005E7CCB"/>
    <w:rsid w:val="005F1345"/>
    <w:rsid w:val="005F1C12"/>
    <w:rsid w:val="005F26F9"/>
    <w:rsid w:val="005F2CB1"/>
    <w:rsid w:val="005F3025"/>
    <w:rsid w:val="005F305A"/>
    <w:rsid w:val="005F34A0"/>
    <w:rsid w:val="005F4EC6"/>
    <w:rsid w:val="005F4F18"/>
    <w:rsid w:val="005F5DD5"/>
    <w:rsid w:val="005F618C"/>
    <w:rsid w:val="005F70BD"/>
    <w:rsid w:val="0060283C"/>
    <w:rsid w:val="006044AB"/>
    <w:rsid w:val="00604633"/>
    <w:rsid w:val="00604F14"/>
    <w:rsid w:val="0060647E"/>
    <w:rsid w:val="006105AE"/>
    <w:rsid w:val="006109EA"/>
    <w:rsid w:val="00611B83"/>
    <w:rsid w:val="00611F54"/>
    <w:rsid w:val="006127BD"/>
    <w:rsid w:val="00612E92"/>
    <w:rsid w:val="006131BE"/>
    <w:rsid w:val="00613257"/>
    <w:rsid w:val="006142B1"/>
    <w:rsid w:val="00614896"/>
    <w:rsid w:val="00614E33"/>
    <w:rsid w:val="006172FA"/>
    <w:rsid w:val="00620A71"/>
    <w:rsid w:val="00620D80"/>
    <w:rsid w:val="00620FDF"/>
    <w:rsid w:val="0062268D"/>
    <w:rsid w:val="00622AEB"/>
    <w:rsid w:val="006234A6"/>
    <w:rsid w:val="006246B9"/>
    <w:rsid w:val="00625970"/>
    <w:rsid w:val="00630001"/>
    <w:rsid w:val="006311B3"/>
    <w:rsid w:val="0063141E"/>
    <w:rsid w:val="0063284C"/>
    <w:rsid w:val="00633408"/>
    <w:rsid w:val="00634A38"/>
    <w:rsid w:val="00635A37"/>
    <w:rsid w:val="00636398"/>
    <w:rsid w:val="006368D3"/>
    <w:rsid w:val="006371E3"/>
    <w:rsid w:val="006377EC"/>
    <w:rsid w:val="0064151F"/>
    <w:rsid w:val="00641533"/>
    <w:rsid w:val="0064208D"/>
    <w:rsid w:val="00643475"/>
    <w:rsid w:val="0064396A"/>
    <w:rsid w:val="00644B90"/>
    <w:rsid w:val="00645938"/>
    <w:rsid w:val="0064624E"/>
    <w:rsid w:val="00646610"/>
    <w:rsid w:val="00647389"/>
    <w:rsid w:val="006500B6"/>
    <w:rsid w:val="00650AB9"/>
    <w:rsid w:val="006523AA"/>
    <w:rsid w:val="0065450E"/>
    <w:rsid w:val="00655733"/>
    <w:rsid w:val="00655ACD"/>
    <w:rsid w:val="00655F49"/>
    <w:rsid w:val="006560DC"/>
    <w:rsid w:val="00656A92"/>
    <w:rsid w:val="00656DDE"/>
    <w:rsid w:val="00657761"/>
    <w:rsid w:val="0066011D"/>
    <w:rsid w:val="006607C0"/>
    <w:rsid w:val="006613A6"/>
    <w:rsid w:val="006619C4"/>
    <w:rsid w:val="0066261E"/>
    <w:rsid w:val="006627A2"/>
    <w:rsid w:val="006634E6"/>
    <w:rsid w:val="00664344"/>
    <w:rsid w:val="00664C4B"/>
    <w:rsid w:val="00664DB2"/>
    <w:rsid w:val="00664DFB"/>
    <w:rsid w:val="006655EE"/>
    <w:rsid w:val="00665D44"/>
    <w:rsid w:val="00667EE7"/>
    <w:rsid w:val="00670922"/>
    <w:rsid w:val="00670BE1"/>
    <w:rsid w:val="00671371"/>
    <w:rsid w:val="0067218F"/>
    <w:rsid w:val="006721A0"/>
    <w:rsid w:val="00672CB0"/>
    <w:rsid w:val="00672FE5"/>
    <w:rsid w:val="00673589"/>
    <w:rsid w:val="006741F2"/>
    <w:rsid w:val="00674727"/>
    <w:rsid w:val="00674CC3"/>
    <w:rsid w:val="006754C9"/>
    <w:rsid w:val="00675C72"/>
    <w:rsid w:val="006771F9"/>
    <w:rsid w:val="006776D7"/>
    <w:rsid w:val="00681003"/>
    <w:rsid w:val="006813EC"/>
    <w:rsid w:val="00681600"/>
    <w:rsid w:val="006817C9"/>
    <w:rsid w:val="00682491"/>
    <w:rsid w:val="00682D76"/>
    <w:rsid w:val="006836D3"/>
    <w:rsid w:val="006837C3"/>
    <w:rsid w:val="00683ECE"/>
    <w:rsid w:val="00685972"/>
    <w:rsid w:val="00685CAD"/>
    <w:rsid w:val="00686A0C"/>
    <w:rsid w:val="00686BB0"/>
    <w:rsid w:val="006908CF"/>
    <w:rsid w:val="00691541"/>
    <w:rsid w:val="00694225"/>
    <w:rsid w:val="00695FC2"/>
    <w:rsid w:val="00696949"/>
    <w:rsid w:val="00697052"/>
    <w:rsid w:val="00697814"/>
    <w:rsid w:val="006A011E"/>
    <w:rsid w:val="006A0E28"/>
    <w:rsid w:val="006A1DA2"/>
    <w:rsid w:val="006A3D9A"/>
    <w:rsid w:val="006A46FB"/>
    <w:rsid w:val="006A5612"/>
    <w:rsid w:val="006A5A3D"/>
    <w:rsid w:val="006A5E28"/>
    <w:rsid w:val="006A6930"/>
    <w:rsid w:val="006A697B"/>
    <w:rsid w:val="006A7AFF"/>
    <w:rsid w:val="006B1816"/>
    <w:rsid w:val="006B195C"/>
    <w:rsid w:val="006B2099"/>
    <w:rsid w:val="006B2367"/>
    <w:rsid w:val="006B50CF"/>
    <w:rsid w:val="006B6E65"/>
    <w:rsid w:val="006B7D4E"/>
    <w:rsid w:val="006C0350"/>
    <w:rsid w:val="006C03B8"/>
    <w:rsid w:val="006C1B2E"/>
    <w:rsid w:val="006C1C20"/>
    <w:rsid w:val="006C2BF7"/>
    <w:rsid w:val="006C2EA6"/>
    <w:rsid w:val="006C3187"/>
    <w:rsid w:val="006C498C"/>
    <w:rsid w:val="006C4F25"/>
    <w:rsid w:val="006C580E"/>
    <w:rsid w:val="006C5EC9"/>
    <w:rsid w:val="006C6059"/>
    <w:rsid w:val="006C7522"/>
    <w:rsid w:val="006D074F"/>
    <w:rsid w:val="006D1657"/>
    <w:rsid w:val="006D1987"/>
    <w:rsid w:val="006D30C0"/>
    <w:rsid w:val="006D320E"/>
    <w:rsid w:val="006D42D1"/>
    <w:rsid w:val="006D4CF9"/>
    <w:rsid w:val="006D5116"/>
    <w:rsid w:val="006D6F08"/>
    <w:rsid w:val="006D7953"/>
    <w:rsid w:val="006D7E67"/>
    <w:rsid w:val="006E062C"/>
    <w:rsid w:val="006E1C82"/>
    <w:rsid w:val="006E28B7"/>
    <w:rsid w:val="006E2A9B"/>
    <w:rsid w:val="006E3310"/>
    <w:rsid w:val="006E36A1"/>
    <w:rsid w:val="006E4B2E"/>
    <w:rsid w:val="006E4E39"/>
    <w:rsid w:val="006E4FE9"/>
    <w:rsid w:val="006E565E"/>
    <w:rsid w:val="006E59CA"/>
    <w:rsid w:val="006E5C09"/>
    <w:rsid w:val="006E6618"/>
    <w:rsid w:val="006E673D"/>
    <w:rsid w:val="006E7D3B"/>
    <w:rsid w:val="006F1830"/>
    <w:rsid w:val="006F1B70"/>
    <w:rsid w:val="006F1F74"/>
    <w:rsid w:val="006F2EA5"/>
    <w:rsid w:val="006F341D"/>
    <w:rsid w:val="006F3CDE"/>
    <w:rsid w:val="006F4A22"/>
    <w:rsid w:val="006F58D4"/>
    <w:rsid w:val="006F5D59"/>
    <w:rsid w:val="006F6582"/>
    <w:rsid w:val="006F74D9"/>
    <w:rsid w:val="007012F4"/>
    <w:rsid w:val="00701D4A"/>
    <w:rsid w:val="00702750"/>
    <w:rsid w:val="0070298A"/>
    <w:rsid w:val="0070346E"/>
    <w:rsid w:val="00704821"/>
    <w:rsid w:val="00704EDB"/>
    <w:rsid w:val="00705876"/>
    <w:rsid w:val="00706101"/>
    <w:rsid w:val="00706132"/>
    <w:rsid w:val="00707072"/>
    <w:rsid w:val="00707D61"/>
    <w:rsid w:val="007110F8"/>
    <w:rsid w:val="00712287"/>
    <w:rsid w:val="00712772"/>
    <w:rsid w:val="007148D3"/>
    <w:rsid w:val="00714C35"/>
    <w:rsid w:val="00715B9A"/>
    <w:rsid w:val="00715EB1"/>
    <w:rsid w:val="007160A4"/>
    <w:rsid w:val="007171CB"/>
    <w:rsid w:val="00717216"/>
    <w:rsid w:val="00723779"/>
    <w:rsid w:val="00725422"/>
    <w:rsid w:val="007256F7"/>
    <w:rsid w:val="007257D0"/>
    <w:rsid w:val="0072603B"/>
    <w:rsid w:val="00726EA6"/>
    <w:rsid w:val="00727208"/>
    <w:rsid w:val="007272AE"/>
    <w:rsid w:val="00727680"/>
    <w:rsid w:val="00732628"/>
    <w:rsid w:val="0073313D"/>
    <w:rsid w:val="00733FD0"/>
    <w:rsid w:val="007348B1"/>
    <w:rsid w:val="00735EE8"/>
    <w:rsid w:val="007362A6"/>
    <w:rsid w:val="00736D7D"/>
    <w:rsid w:val="00736DCA"/>
    <w:rsid w:val="00736F6D"/>
    <w:rsid w:val="00737739"/>
    <w:rsid w:val="007408FF"/>
    <w:rsid w:val="00740E58"/>
    <w:rsid w:val="00742782"/>
    <w:rsid w:val="0074312A"/>
    <w:rsid w:val="007435F5"/>
    <w:rsid w:val="00743FAD"/>
    <w:rsid w:val="007445A0"/>
    <w:rsid w:val="0074524B"/>
    <w:rsid w:val="00747D8B"/>
    <w:rsid w:val="007502E3"/>
    <w:rsid w:val="007506D3"/>
    <w:rsid w:val="00751228"/>
    <w:rsid w:val="00752E43"/>
    <w:rsid w:val="007571E1"/>
    <w:rsid w:val="00757653"/>
    <w:rsid w:val="00757D90"/>
    <w:rsid w:val="007601D9"/>
    <w:rsid w:val="007604B2"/>
    <w:rsid w:val="00760693"/>
    <w:rsid w:val="007610F5"/>
    <w:rsid w:val="0076143E"/>
    <w:rsid w:val="00761C7B"/>
    <w:rsid w:val="00762CCA"/>
    <w:rsid w:val="00764E87"/>
    <w:rsid w:val="00765281"/>
    <w:rsid w:val="0076569F"/>
    <w:rsid w:val="00765C5F"/>
    <w:rsid w:val="00766BAD"/>
    <w:rsid w:val="00767C27"/>
    <w:rsid w:val="00770D10"/>
    <w:rsid w:val="007720BC"/>
    <w:rsid w:val="0077292E"/>
    <w:rsid w:val="00772995"/>
    <w:rsid w:val="007729A2"/>
    <w:rsid w:val="00774B93"/>
    <w:rsid w:val="007755F2"/>
    <w:rsid w:val="00776971"/>
    <w:rsid w:val="00780A80"/>
    <w:rsid w:val="00780CE2"/>
    <w:rsid w:val="0078177E"/>
    <w:rsid w:val="007819DD"/>
    <w:rsid w:val="00782EE2"/>
    <w:rsid w:val="0078304C"/>
    <w:rsid w:val="00783673"/>
    <w:rsid w:val="00784A0C"/>
    <w:rsid w:val="0078512D"/>
    <w:rsid w:val="00785490"/>
    <w:rsid w:val="00786017"/>
    <w:rsid w:val="0078706B"/>
    <w:rsid w:val="007925EA"/>
    <w:rsid w:val="00792CA9"/>
    <w:rsid w:val="00793485"/>
    <w:rsid w:val="00793CD8"/>
    <w:rsid w:val="0079418F"/>
    <w:rsid w:val="00794269"/>
    <w:rsid w:val="00795C92"/>
    <w:rsid w:val="00796231"/>
    <w:rsid w:val="007962CB"/>
    <w:rsid w:val="00796956"/>
    <w:rsid w:val="00796CC2"/>
    <w:rsid w:val="0079701E"/>
    <w:rsid w:val="007977ED"/>
    <w:rsid w:val="007A0255"/>
    <w:rsid w:val="007A11B5"/>
    <w:rsid w:val="007A1C2C"/>
    <w:rsid w:val="007A1CB3"/>
    <w:rsid w:val="007A2B55"/>
    <w:rsid w:val="007A306F"/>
    <w:rsid w:val="007A32E1"/>
    <w:rsid w:val="007A386D"/>
    <w:rsid w:val="007A43A6"/>
    <w:rsid w:val="007A4557"/>
    <w:rsid w:val="007A4769"/>
    <w:rsid w:val="007A5709"/>
    <w:rsid w:val="007A58A6"/>
    <w:rsid w:val="007A6A2A"/>
    <w:rsid w:val="007A770B"/>
    <w:rsid w:val="007A7E76"/>
    <w:rsid w:val="007B0187"/>
    <w:rsid w:val="007B028C"/>
    <w:rsid w:val="007B3D2D"/>
    <w:rsid w:val="007B4393"/>
    <w:rsid w:val="007B50AE"/>
    <w:rsid w:val="007B5125"/>
    <w:rsid w:val="007B51DF"/>
    <w:rsid w:val="007C05DD"/>
    <w:rsid w:val="007C1028"/>
    <w:rsid w:val="007C1F52"/>
    <w:rsid w:val="007C26AF"/>
    <w:rsid w:val="007C3D18"/>
    <w:rsid w:val="007C482E"/>
    <w:rsid w:val="007C60BF"/>
    <w:rsid w:val="007C6A07"/>
    <w:rsid w:val="007C75A1"/>
    <w:rsid w:val="007C77A5"/>
    <w:rsid w:val="007C7875"/>
    <w:rsid w:val="007C7C56"/>
    <w:rsid w:val="007D0416"/>
    <w:rsid w:val="007D04E5"/>
    <w:rsid w:val="007D078F"/>
    <w:rsid w:val="007D1929"/>
    <w:rsid w:val="007D2D8F"/>
    <w:rsid w:val="007D3DDC"/>
    <w:rsid w:val="007D479B"/>
    <w:rsid w:val="007D484A"/>
    <w:rsid w:val="007D5069"/>
    <w:rsid w:val="007D5901"/>
    <w:rsid w:val="007D7526"/>
    <w:rsid w:val="007D754C"/>
    <w:rsid w:val="007D79C3"/>
    <w:rsid w:val="007D7B9D"/>
    <w:rsid w:val="007E0B17"/>
    <w:rsid w:val="007E1C66"/>
    <w:rsid w:val="007E1FF1"/>
    <w:rsid w:val="007E25EA"/>
    <w:rsid w:val="007E4610"/>
    <w:rsid w:val="007E4715"/>
    <w:rsid w:val="007E505B"/>
    <w:rsid w:val="007E5A29"/>
    <w:rsid w:val="007E675F"/>
    <w:rsid w:val="007E7091"/>
    <w:rsid w:val="007F1A8C"/>
    <w:rsid w:val="007F4333"/>
    <w:rsid w:val="007F53E7"/>
    <w:rsid w:val="007F5B68"/>
    <w:rsid w:val="007F6ADA"/>
    <w:rsid w:val="00800F75"/>
    <w:rsid w:val="00802087"/>
    <w:rsid w:val="00802B0B"/>
    <w:rsid w:val="00803FAE"/>
    <w:rsid w:val="00805D71"/>
    <w:rsid w:val="0080605F"/>
    <w:rsid w:val="0080657E"/>
    <w:rsid w:val="00807786"/>
    <w:rsid w:val="008079D5"/>
    <w:rsid w:val="00811854"/>
    <w:rsid w:val="00811FCB"/>
    <w:rsid w:val="00812A03"/>
    <w:rsid w:val="0081328B"/>
    <w:rsid w:val="00813A40"/>
    <w:rsid w:val="00814006"/>
    <w:rsid w:val="008144D6"/>
    <w:rsid w:val="008158D6"/>
    <w:rsid w:val="00815A6C"/>
    <w:rsid w:val="0081639E"/>
    <w:rsid w:val="00816FBE"/>
    <w:rsid w:val="00817196"/>
    <w:rsid w:val="008235DB"/>
    <w:rsid w:val="0082458B"/>
    <w:rsid w:val="00824AB4"/>
    <w:rsid w:val="00824CA5"/>
    <w:rsid w:val="00825B54"/>
    <w:rsid w:val="00825C42"/>
    <w:rsid w:val="00825D25"/>
    <w:rsid w:val="00826175"/>
    <w:rsid w:val="00826BCE"/>
    <w:rsid w:val="00827D6F"/>
    <w:rsid w:val="008305A4"/>
    <w:rsid w:val="008311F2"/>
    <w:rsid w:val="00831553"/>
    <w:rsid w:val="0083188C"/>
    <w:rsid w:val="00833B02"/>
    <w:rsid w:val="008349F2"/>
    <w:rsid w:val="00835209"/>
    <w:rsid w:val="00835770"/>
    <w:rsid w:val="008376AC"/>
    <w:rsid w:val="00837716"/>
    <w:rsid w:val="0083776C"/>
    <w:rsid w:val="008409E7"/>
    <w:rsid w:val="00840B74"/>
    <w:rsid w:val="00841053"/>
    <w:rsid w:val="00841089"/>
    <w:rsid w:val="00843099"/>
    <w:rsid w:val="0084348F"/>
    <w:rsid w:val="008444E8"/>
    <w:rsid w:val="00844D05"/>
    <w:rsid w:val="00844E80"/>
    <w:rsid w:val="00844FAB"/>
    <w:rsid w:val="00846FE7"/>
    <w:rsid w:val="00850670"/>
    <w:rsid w:val="00851CFA"/>
    <w:rsid w:val="00852E3F"/>
    <w:rsid w:val="00854F52"/>
    <w:rsid w:val="00855382"/>
    <w:rsid w:val="0085558B"/>
    <w:rsid w:val="008561EE"/>
    <w:rsid w:val="00856911"/>
    <w:rsid w:val="00857338"/>
    <w:rsid w:val="0086025D"/>
    <w:rsid w:val="00865799"/>
    <w:rsid w:val="00865B2B"/>
    <w:rsid w:val="008677FD"/>
    <w:rsid w:val="008706D4"/>
    <w:rsid w:val="008706F7"/>
    <w:rsid w:val="00870C41"/>
    <w:rsid w:val="00870F8A"/>
    <w:rsid w:val="00871768"/>
    <w:rsid w:val="008719A4"/>
    <w:rsid w:val="00871D23"/>
    <w:rsid w:val="008726B1"/>
    <w:rsid w:val="00873778"/>
    <w:rsid w:val="00874312"/>
    <w:rsid w:val="0087437C"/>
    <w:rsid w:val="00874E68"/>
    <w:rsid w:val="008756C8"/>
    <w:rsid w:val="00875CD7"/>
    <w:rsid w:val="00876362"/>
    <w:rsid w:val="00876B4D"/>
    <w:rsid w:val="00876F21"/>
    <w:rsid w:val="00877F18"/>
    <w:rsid w:val="008817C3"/>
    <w:rsid w:val="008825D2"/>
    <w:rsid w:val="00883350"/>
    <w:rsid w:val="00883785"/>
    <w:rsid w:val="008848D3"/>
    <w:rsid w:val="008855FF"/>
    <w:rsid w:val="00886E66"/>
    <w:rsid w:val="00887F83"/>
    <w:rsid w:val="0089144E"/>
    <w:rsid w:val="00892A81"/>
    <w:rsid w:val="00892D38"/>
    <w:rsid w:val="008934F7"/>
    <w:rsid w:val="008941E3"/>
    <w:rsid w:val="00894A88"/>
    <w:rsid w:val="00895386"/>
    <w:rsid w:val="00895494"/>
    <w:rsid w:val="00895B9D"/>
    <w:rsid w:val="00896382"/>
    <w:rsid w:val="008967DA"/>
    <w:rsid w:val="00896870"/>
    <w:rsid w:val="0089763B"/>
    <w:rsid w:val="008977C4"/>
    <w:rsid w:val="00897F59"/>
    <w:rsid w:val="008A21FF"/>
    <w:rsid w:val="008A2CE2"/>
    <w:rsid w:val="008A30AC"/>
    <w:rsid w:val="008A44B8"/>
    <w:rsid w:val="008A4CF9"/>
    <w:rsid w:val="008A51A8"/>
    <w:rsid w:val="008A54C7"/>
    <w:rsid w:val="008A54FE"/>
    <w:rsid w:val="008A55DB"/>
    <w:rsid w:val="008A77D8"/>
    <w:rsid w:val="008B0277"/>
    <w:rsid w:val="008B0483"/>
    <w:rsid w:val="008B0D53"/>
    <w:rsid w:val="008B120C"/>
    <w:rsid w:val="008B121F"/>
    <w:rsid w:val="008B13DD"/>
    <w:rsid w:val="008B2574"/>
    <w:rsid w:val="008B25A5"/>
    <w:rsid w:val="008B35A3"/>
    <w:rsid w:val="008B3B33"/>
    <w:rsid w:val="008B3EC7"/>
    <w:rsid w:val="008B51A0"/>
    <w:rsid w:val="008B592A"/>
    <w:rsid w:val="008B6BD0"/>
    <w:rsid w:val="008B78DA"/>
    <w:rsid w:val="008B7B5C"/>
    <w:rsid w:val="008C01AD"/>
    <w:rsid w:val="008C07B5"/>
    <w:rsid w:val="008C0C99"/>
    <w:rsid w:val="008C2017"/>
    <w:rsid w:val="008C2250"/>
    <w:rsid w:val="008C273E"/>
    <w:rsid w:val="008C2B1A"/>
    <w:rsid w:val="008C36B3"/>
    <w:rsid w:val="008C3E1C"/>
    <w:rsid w:val="008C4958"/>
    <w:rsid w:val="008C4BAA"/>
    <w:rsid w:val="008C4C02"/>
    <w:rsid w:val="008C6003"/>
    <w:rsid w:val="008C6AE8"/>
    <w:rsid w:val="008C7573"/>
    <w:rsid w:val="008D00A5"/>
    <w:rsid w:val="008D047F"/>
    <w:rsid w:val="008D1741"/>
    <w:rsid w:val="008D1C4A"/>
    <w:rsid w:val="008D3087"/>
    <w:rsid w:val="008D34F1"/>
    <w:rsid w:val="008D383A"/>
    <w:rsid w:val="008D39D8"/>
    <w:rsid w:val="008D3FD4"/>
    <w:rsid w:val="008D5229"/>
    <w:rsid w:val="008D6300"/>
    <w:rsid w:val="008D6642"/>
    <w:rsid w:val="008D6D1A"/>
    <w:rsid w:val="008D6E3D"/>
    <w:rsid w:val="008E065E"/>
    <w:rsid w:val="008E0927"/>
    <w:rsid w:val="008E0CF6"/>
    <w:rsid w:val="008E1909"/>
    <w:rsid w:val="008E4107"/>
    <w:rsid w:val="008E5043"/>
    <w:rsid w:val="008E73B0"/>
    <w:rsid w:val="008E7931"/>
    <w:rsid w:val="008F1C4E"/>
    <w:rsid w:val="008F1EAB"/>
    <w:rsid w:val="008F334B"/>
    <w:rsid w:val="008F33DC"/>
    <w:rsid w:val="008F3AEE"/>
    <w:rsid w:val="008F428E"/>
    <w:rsid w:val="008F45AA"/>
    <w:rsid w:val="008F477F"/>
    <w:rsid w:val="008F4EBC"/>
    <w:rsid w:val="008F5DBB"/>
    <w:rsid w:val="008F7187"/>
    <w:rsid w:val="009000C3"/>
    <w:rsid w:val="00902350"/>
    <w:rsid w:val="00902CAF"/>
    <w:rsid w:val="0090336B"/>
    <w:rsid w:val="009041DF"/>
    <w:rsid w:val="00904C29"/>
    <w:rsid w:val="00904DFD"/>
    <w:rsid w:val="00904F0A"/>
    <w:rsid w:val="009053AA"/>
    <w:rsid w:val="009056FE"/>
    <w:rsid w:val="00906939"/>
    <w:rsid w:val="00910B7D"/>
    <w:rsid w:val="00911DFB"/>
    <w:rsid w:val="009139D9"/>
    <w:rsid w:val="00914AD8"/>
    <w:rsid w:val="00916079"/>
    <w:rsid w:val="00917CE9"/>
    <w:rsid w:val="00920BF2"/>
    <w:rsid w:val="00921463"/>
    <w:rsid w:val="00921AC1"/>
    <w:rsid w:val="00922010"/>
    <w:rsid w:val="00925BA0"/>
    <w:rsid w:val="00926580"/>
    <w:rsid w:val="00930C54"/>
    <w:rsid w:val="00931BD9"/>
    <w:rsid w:val="00933745"/>
    <w:rsid w:val="009338AA"/>
    <w:rsid w:val="0093423F"/>
    <w:rsid w:val="009354DA"/>
    <w:rsid w:val="009368F3"/>
    <w:rsid w:val="00936F9D"/>
    <w:rsid w:val="009372AD"/>
    <w:rsid w:val="00937D1A"/>
    <w:rsid w:val="009400E8"/>
    <w:rsid w:val="00940E01"/>
    <w:rsid w:val="00941636"/>
    <w:rsid w:val="0094297C"/>
    <w:rsid w:val="009429E5"/>
    <w:rsid w:val="00942BED"/>
    <w:rsid w:val="00943147"/>
    <w:rsid w:val="009433F6"/>
    <w:rsid w:val="00943742"/>
    <w:rsid w:val="00943EF1"/>
    <w:rsid w:val="009452F4"/>
    <w:rsid w:val="0094596B"/>
    <w:rsid w:val="00945C05"/>
    <w:rsid w:val="00945FEC"/>
    <w:rsid w:val="009460A8"/>
    <w:rsid w:val="00946945"/>
    <w:rsid w:val="00947713"/>
    <w:rsid w:val="00950690"/>
    <w:rsid w:val="00950DE7"/>
    <w:rsid w:val="00953920"/>
    <w:rsid w:val="00953D47"/>
    <w:rsid w:val="00955BFF"/>
    <w:rsid w:val="0095681E"/>
    <w:rsid w:val="009572D4"/>
    <w:rsid w:val="00957C66"/>
    <w:rsid w:val="009605AB"/>
    <w:rsid w:val="00961921"/>
    <w:rsid w:val="00961AFB"/>
    <w:rsid w:val="009620D2"/>
    <w:rsid w:val="009622D2"/>
    <w:rsid w:val="009625F8"/>
    <w:rsid w:val="0096430A"/>
    <w:rsid w:val="0096554B"/>
    <w:rsid w:val="0096584A"/>
    <w:rsid w:val="0096675A"/>
    <w:rsid w:val="00970B09"/>
    <w:rsid w:val="00971646"/>
    <w:rsid w:val="00971F08"/>
    <w:rsid w:val="0097375E"/>
    <w:rsid w:val="00974A47"/>
    <w:rsid w:val="009750BF"/>
    <w:rsid w:val="0097603D"/>
    <w:rsid w:val="00976949"/>
    <w:rsid w:val="00976D5E"/>
    <w:rsid w:val="00977D3E"/>
    <w:rsid w:val="00980477"/>
    <w:rsid w:val="00981BA8"/>
    <w:rsid w:val="0098239E"/>
    <w:rsid w:val="00982B68"/>
    <w:rsid w:val="00983D7D"/>
    <w:rsid w:val="00985253"/>
    <w:rsid w:val="009853B3"/>
    <w:rsid w:val="00985427"/>
    <w:rsid w:val="009856ED"/>
    <w:rsid w:val="00985AF9"/>
    <w:rsid w:val="00986002"/>
    <w:rsid w:val="009875E6"/>
    <w:rsid w:val="00987833"/>
    <w:rsid w:val="00990630"/>
    <w:rsid w:val="00991086"/>
    <w:rsid w:val="00991346"/>
    <w:rsid w:val="00991761"/>
    <w:rsid w:val="00993B76"/>
    <w:rsid w:val="00994DCA"/>
    <w:rsid w:val="009960EC"/>
    <w:rsid w:val="009970DD"/>
    <w:rsid w:val="009A01EF"/>
    <w:rsid w:val="009A02AB"/>
    <w:rsid w:val="009A0A9A"/>
    <w:rsid w:val="009A0FBA"/>
    <w:rsid w:val="009A1601"/>
    <w:rsid w:val="009A2487"/>
    <w:rsid w:val="009A302E"/>
    <w:rsid w:val="009A375C"/>
    <w:rsid w:val="009A3BB6"/>
    <w:rsid w:val="009A4134"/>
    <w:rsid w:val="009A462D"/>
    <w:rsid w:val="009A5CBA"/>
    <w:rsid w:val="009A6384"/>
    <w:rsid w:val="009A6587"/>
    <w:rsid w:val="009A7B2B"/>
    <w:rsid w:val="009B1F30"/>
    <w:rsid w:val="009B237A"/>
    <w:rsid w:val="009B3AC2"/>
    <w:rsid w:val="009B3AF1"/>
    <w:rsid w:val="009B4097"/>
    <w:rsid w:val="009B4B32"/>
    <w:rsid w:val="009B4B42"/>
    <w:rsid w:val="009B4DF4"/>
    <w:rsid w:val="009B564E"/>
    <w:rsid w:val="009B706C"/>
    <w:rsid w:val="009B76EE"/>
    <w:rsid w:val="009B773D"/>
    <w:rsid w:val="009B7E87"/>
    <w:rsid w:val="009B7E8D"/>
    <w:rsid w:val="009C00FF"/>
    <w:rsid w:val="009C0169"/>
    <w:rsid w:val="009C01EA"/>
    <w:rsid w:val="009C403E"/>
    <w:rsid w:val="009C4901"/>
    <w:rsid w:val="009C71A8"/>
    <w:rsid w:val="009C73D8"/>
    <w:rsid w:val="009C78EF"/>
    <w:rsid w:val="009D07CA"/>
    <w:rsid w:val="009D1290"/>
    <w:rsid w:val="009D2E5D"/>
    <w:rsid w:val="009D4BE3"/>
    <w:rsid w:val="009D4FF0"/>
    <w:rsid w:val="009D6AE0"/>
    <w:rsid w:val="009D703C"/>
    <w:rsid w:val="009D718F"/>
    <w:rsid w:val="009D7740"/>
    <w:rsid w:val="009D77A9"/>
    <w:rsid w:val="009E068F"/>
    <w:rsid w:val="009E14E0"/>
    <w:rsid w:val="009E196F"/>
    <w:rsid w:val="009E326A"/>
    <w:rsid w:val="009E35DB"/>
    <w:rsid w:val="009E3AE6"/>
    <w:rsid w:val="009E3B42"/>
    <w:rsid w:val="009E402A"/>
    <w:rsid w:val="009E47A3"/>
    <w:rsid w:val="009E514F"/>
    <w:rsid w:val="009E7762"/>
    <w:rsid w:val="009E7E6D"/>
    <w:rsid w:val="009F06A5"/>
    <w:rsid w:val="009F08F3"/>
    <w:rsid w:val="009F0CBF"/>
    <w:rsid w:val="009F1A69"/>
    <w:rsid w:val="009F1C18"/>
    <w:rsid w:val="009F344F"/>
    <w:rsid w:val="009F370F"/>
    <w:rsid w:val="009F3EE2"/>
    <w:rsid w:val="009F57C6"/>
    <w:rsid w:val="009F5A9C"/>
    <w:rsid w:val="00A0077E"/>
    <w:rsid w:val="00A0104A"/>
    <w:rsid w:val="00A01EA9"/>
    <w:rsid w:val="00A02A3C"/>
    <w:rsid w:val="00A02BD8"/>
    <w:rsid w:val="00A031D8"/>
    <w:rsid w:val="00A03B1F"/>
    <w:rsid w:val="00A048A8"/>
    <w:rsid w:val="00A04F49"/>
    <w:rsid w:val="00A051DD"/>
    <w:rsid w:val="00A0577E"/>
    <w:rsid w:val="00A067BA"/>
    <w:rsid w:val="00A106D1"/>
    <w:rsid w:val="00A11F28"/>
    <w:rsid w:val="00A12BC2"/>
    <w:rsid w:val="00A1311D"/>
    <w:rsid w:val="00A1360B"/>
    <w:rsid w:val="00A13E54"/>
    <w:rsid w:val="00A1400F"/>
    <w:rsid w:val="00A149EF"/>
    <w:rsid w:val="00A150BF"/>
    <w:rsid w:val="00A16658"/>
    <w:rsid w:val="00A17E88"/>
    <w:rsid w:val="00A17F63"/>
    <w:rsid w:val="00A2012F"/>
    <w:rsid w:val="00A204A4"/>
    <w:rsid w:val="00A2193B"/>
    <w:rsid w:val="00A2268A"/>
    <w:rsid w:val="00A229ED"/>
    <w:rsid w:val="00A22A39"/>
    <w:rsid w:val="00A2351A"/>
    <w:rsid w:val="00A245C6"/>
    <w:rsid w:val="00A264A9"/>
    <w:rsid w:val="00A26BA7"/>
    <w:rsid w:val="00A26DCF"/>
    <w:rsid w:val="00A27361"/>
    <w:rsid w:val="00A27396"/>
    <w:rsid w:val="00A27785"/>
    <w:rsid w:val="00A30187"/>
    <w:rsid w:val="00A30334"/>
    <w:rsid w:val="00A332F3"/>
    <w:rsid w:val="00A3448A"/>
    <w:rsid w:val="00A3449F"/>
    <w:rsid w:val="00A36297"/>
    <w:rsid w:val="00A36523"/>
    <w:rsid w:val="00A3671E"/>
    <w:rsid w:val="00A37165"/>
    <w:rsid w:val="00A378C2"/>
    <w:rsid w:val="00A4008C"/>
    <w:rsid w:val="00A40170"/>
    <w:rsid w:val="00A40E9A"/>
    <w:rsid w:val="00A41E2B"/>
    <w:rsid w:val="00A41F05"/>
    <w:rsid w:val="00A4216A"/>
    <w:rsid w:val="00A43817"/>
    <w:rsid w:val="00A44175"/>
    <w:rsid w:val="00A44D3E"/>
    <w:rsid w:val="00A45B74"/>
    <w:rsid w:val="00A4646E"/>
    <w:rsid w:val="00A46BC3"/>
    <w:rsid w:val="00A5231C"/>
    <w:rsid w:val="00A529F5"/>
    <w:rsid w:val="00A52E1D"/>
    <w:rsid w:val="00A5302A"/>
    <w:rsid w:val="00A5343C"/>
    <w:rsid w:val="00A54296"/>
    <w:rsid w:val="00A60E99"/>
    <w:rsid w:val="00A61499"/>
    <w:rsid w:val="00A62A77"/>
    <w:rsid w:val="00A62C0F"/>
    <w:rsid w:val="00A62C24"/>
    <w:rsid w:val="00A63330"/>
    <w:rsid w:val="00A63483"/>
    <w:rsid w:val="00A635C6"/>
    <w:rsid w:val="00A63BB9"/>
    <w:rsid w:val="00A657D7"/>
    <w:rsid w:val="00A65BB6"/>
    <w:rsid w:val="00A660AC"/>
    <w:rsid w:val="00A67E6C"/>
    <w:rsid w:val="00A71B99"/>
    <w:rsid w:val="00A7252F"/>
    <w:rsid w:val="00A739D0"/>
    <w:rsid w:val="00A75786"/>
    <w:rsid w:val="00A761D4"/>
    <w:rsid w:val="00A76B33"/>
    <w:rsid w:val="00A771D0"/>
    <w:rsid w:val="00A77633"/>
    <w:rsid w:val="00A77EC4"/>
    <w:rsid w:val="00A80194"/>
    <w:rsid w:val="00A81CE4"/>
    <w:rsid w:val="00A82CEF"/>
    <w:rsid w:val="00A83C69"/>
    <w:rsid w:val="00A83DD1"/>
    <w:rsid w:val="00A8445C"/>
    <w:rsid w:val="00A87627"/>
    <w:rsid w:val="00A90773"/>
    <w:rsid w:val="00A90AAE"/>
    <w:rsid w:val="00A90C33"/>
    <w:rsid w:val="00A91961"/>
    <w:rsid w:val="00A92879"/>
    <w:rsid w:val="00A93B59"/>
    <w:rsid w:val="00A9442A"/>
    <w:rsid w:val="00A96764"/>
    <w:rsid w:val="00AA016F"/>
    <w:rsid w:val="00AA08CF"/>
    <w:rsid w:val="00AA1ED6"/>
    <w:rsid w:val="00AA2AA5"/>
    <w:rsid w:val="00AA51D6"/>
    <w:rsid w:val="00AA5E2B"/>
    <w:rsid w:val="00AB0BC8"/>
    <w:rsid w:val="00AB0E1D"/>
    <w:rsid w:val="00AB11CA"/>
    <w:rsid w:val="00AB14D9"/>
    <w:rsid w:val="00AB18B9"/>
    <w:rsid w:val="00AB2421"/>
    <w:rsid w:val="00AB4AB8"/>
    <w:rsid w:val="00AB4D8E"/>
    <w:rsid w:val="00AB655E"/>
    <w:rsid w:val="00AB7BC8"/>
    <w:rsid w:val="00AC007F"/>
    <w:rsid w:val="00AC1434"/>
    <w:rsid w:val="00AC17EE"/>
    <w:rsid w:val="00AC1DAE"/>
    <w:rsid w:val="00AC2546"/>
    <w:rsid w:val="00AC2ECD"/>
    <w:rsid w:val="00AC3119"/>
    <w:rsid w:val="00AC3A71"/>
    <w:rsid w:val="00AC49FB"/>
    <w:rsid w:val="00AC5A10"/>
    <w:rsid w:val="00AC7032"/>
    <w:rsid w:val="00AC77E2"/>
    <w:rsid w:val="00AD074C"/>
    <w:rsid w:val="00AD079A"/>
    <w:rsid w:val="00AD09CA"/>
    <w:rsid w:val="00AD0AA3"/>
    <w:rsid w:val="00AD1172"/>
    <w:rsid w:val="00AD16FC"/>
    <w:rsid w:val="00AD18C3"/>
    <w:rsid w:val="00AD2294"/>
    <w:rsid w:val="00AD2ED0"/>
    <w:rsid w:val="00AD2F9E"/>
    <w:rsid w:val="00AD30D5"/>
    <w:rsid w:val="00AD3F94"/>
    <w:rsid w:val="00AD4647"/>
    <w:rsid w:val="00AD4A5A"/>
    <w:rsid w:val="00AD4B6A"/>
    <w:rsid w:val="00AD5163"/>
    <w:rsid w:val="00AD62D4"/>
    <w:rsid w:val="00AE0386"/>
    <w:rsid w:val="00AE0FE9"/>
    <w:rsid w:val="00AE2381"/>
    <w:rsid w:val="00AE26AC"/>
    <w:rsid w:val="00AE27AC"/>
    <w:rsid w:val="00AE29A5"/>
    <w:rsid w:val="00AE2A4C"/>
    <w:rsid w:val="00AE40E0"/>
    <w:rsid w:val="00AE4763"/>
    <w:rsid w:val="00AE4DBA"/>
    <w:rsid w:val="00AE4F07"/>
    <w:rsid w:val="00AE5189"/>
    <w:rsid w:val="00AE5868"/>
    <w:rsid w:val="00AF0241"/>
    <w:rsid w:val="00AF1C5D"/>
    <w:rsid w:val="00AF2422"/>
    <w:rsid w:val="00AF3193"/>
    <w:rsid w:val="00AF42D7"/>
    <w:rsid w:val="00AF4C7B"/>
    <w:rsid w:val="00AF6FB0"/>
    <w:rsid w:val="00AF70BB"/>
    <w:rsid w:val="00B006FE"/>
    <w:rsid w:val="00B007CB"/>
    <w:rsid w:val="00B015C1"/>
    <w:rsid w:val="00B0231B"/>
    <w:rsid w:val="00B02609"/>
    <w:rsid w:val="00B02AA9"/>
    <w:rsid w:val="00B02FA3"/>
    <w:rsid w:val="00B039D8"/>
    <w:rsid w:val="00B03D44"/>
    <w:rsid w:val="00B05084"/>
    <w:rsid w:val="00B05186"/>
    <w:rsid w:val="00B05B1D"/>
    <w:rsid w:val="00B05C6A"/>
    <w:rsid w:val="00B076E0"/>
    <w:rsid w:val="00B11903"/>
    <w:rsid w:val="00B13A6C"/>
    <w:rsid w:val="00B14120"/>
    <w:rsid w:val="00B157F9"/>
    <w:rsid w:val="00B17069"/>
    <w:rsid w:val="00B177AB"/>
    <w:rsid w:val="00B17803"/>
    <w:rsid w:val="00B20256"/>
    <w:rsid w:val="00B20D09"/>
    <w:rsid w:val="00B23ABF"/>
    <w:rsid w:val="00B27324"/>
    <w:rsid w:val="00B2754B"/>
    <w:rsid w:val="00B2763F"/>
    <w:rsid w:val="00B27AAC"/>
    <w:rsid w:val="00B30407"/>
    <w:rsid w:val="00B30929"/>
    <w:rsid w:val="00B30A61"/>
    <w:rsid w:val="00B315FF"/>
    <w:rsid w:val="00B31DAA"/>
    <w:rsid w:val="00B31F39"/>
    <w:rsid w:val="00B32109"/>
    <w:rsid w:val="00B34357"/>
    <w:rsid w:val="00B348C5"/>
    <w:rsid w:val="00B3558E"/>
    <w:rsid w:val="00B36414"/>
    <w:rsid w:val="00B36A7A"/>
    <w:rsid w:val="00B36F3D"/>
    <w:rsid w:val="00B372AA"/>
    <w:rsid w:val="00B3738A"/>
    <w:rsid w:val="00B40445"/>
    <w:rsid w:val="00B409E0"/>
    <w:rsid w:val="00B40E9D"/>
    <w:rsid w:val="00B40FC3"/>
    <w:rsid w:val="00B411ED"/>
    <w:rsid w:val="00B41888"/>
    <w:rsid w:val="00B42BB7"/>
    <w:rsid w:val="00B44DB8"/>
    <w:rsid w:val="00B45A52"/>
    <w:rsid w:val="00B45BF8"/>
    <w:rsid w:val="00B45E11"/>
    <w:rsid w:val="00B46175"/>
    <w:rsid w:val="00B46DE7"/>
    <w:rsid w:val="00B50623"/>
    <w:rsid w:val="00B51387"/>
    <w:rsid w:val="00B52A5C"/>
    <w:rsid w:val="00B53374"/>
    <w:rsid w:val="00B540E8"/>
    <w:rsid w:val="00B54296"/>
    <w:rsid w:val="00B54656"/>
    <w:rsid w:val="00B548B7"/>
    <w:rsid w:val="00B549E0"/>
    <w:rsid w:val="00B55074"/>
    <w:rsid w:val="00B56459"/>
    <w:rsid w:val="00B567B0"/>
    <w:rsid w:val="00B57515"/>
    <w:rsid w:val="00B602D6"/>
    <w:rsid w:val="00B60CC0"/>
    <w:rsid w:val="00B61A0F"/>
    <w:rsid w:val="00B61F9B"/>
    <w:rsid w:val="00B628AD"/>
    <w:rsid w:val="00B639E8"/>
    <w:rsid w:val="00B65B5C"/>
    <w:rsid w:val="00B664C7"/>
    <w:rsid w:val="00B66CFF"/>
    <w:rsid w:val="00B67199"/>
    <w:rsid w:val="00B70363"/>
    <w:rsid w:val="00B70F0C"/>
    <w:rsid w:val="00B7118F"/>
    <w:rsid w:val="00B71C8E"/>
    <w:rsid w:val="00B739F6"/>
    <w:rsid w:val="00B74756"/>
    <w:rsid w:val="00B75EF1"/>
    <w:rsid w:val="00B7783A"/>
    <w:rsid w:val="00B81A6C"/>
    <w:rsid w:val="00B82F2B"/>
    <w:rsid w:val="00B83186"/>
    <w:rsid w:val="00B83543"/>
    <w:rsid w:val="00B83C4A"/>
    <w:rsid w:val="00B84B63"/>
    <w:rsid w:val="00B85DE5"/>
    <w:rsid w:val="00B86125"/>
    <w:rsid w:val="00B86377"/>
    <w:rsid w:val="00B86BAC"/>
    <w:rsid w:val="00B900FA"/>
    <w:rsid w:val="00B90F73"/>
    <w:rsid w:val="00B93A34"/>
    <w:rsid w:val="00B93B59"/>
    <w:rsid w:val="00B9406A"/>
    <w:rsid w:val="00B949A5"/>
    <w:rsid w:val="00B95726"/>
    <w:rsid w:val="00B9692C"/>
    <w:rsid w:val="00B97B5A"/>
    <w:rsid w:val="00BA07BA"/>
    <w:rsid w:val="00BA1DAB"/>
    <w:rsid w:val="00BA2280"/>
    <w:rsid w:val="00BA2539"/>
    <w:rsid w:val="00BA2A08"/>
    <w:rsid w:val="00BA321F"/>
    <w:rsid w:val="00BA4021"/>
    <w:rsid w:val="00BA42F6"/>
    <w:rsid w:val="00BA434A"/>
    <w:rsid w:val="00BA4778"/>
    <w:rsid w:val="00BA56D2"/>
    <w:rsid w:val="00BA5B81"/>
    <w:rsid w:val="00BA76E0"/>
    <w:rsid w:val="00BA7EC5"/>
    <w:rsid w:val="00BB1FF2"/>
    <w:rsid w:val="00BB2A25"/>
    <w:rsid w:val="00BB2B7D"/>
    <w:rsid w:val="00BB4033"/>
    <w:rsid w:val="00BB40FF"/>
    <w:rsid w:val="00BB51E9"/>
    <w:rsid w:val="00BB5E45"/>
    <w:rsid w:val="00BB64BD"/>
    <w:rsid w:val="00BB7569"/>
    <w:rsid w:val="00BC0101"/>
    <w:rsid w:val="00BC0FDC"/>
    <w:rsid w:val="00BC241E"/>
    <w:rsid w:val="00BC3053"/>
    <w:rsid w:val="00BC4D2E"/>
    <w:rsid w:val="00BD0C6F"/>
    <w:rsid w:val="00BD3218"/>
    <w:rsid w:val="00BD3F39"/>
    <w:rsid w:val="00BD48AC"/>
    <w:rsid w:val="00BD508A"/>
    <w:rsid w:val="00BD5F1A"/>
    <w:rsid w:val="00BE1234"/>
    <w:rsid w:val="00BE1EBA"/>
    <w:rsid w:val="00BE2038"/>
    <w:rsid w:val="00BE24E7"/>
    <w:rsid w:val="00BE28BE"/>
    <w:rsid w:val="00BE2FA6"/>
    <w:rsid w:val="00BE333F"/>
    <w:rsid w:val="00BE42E9"/>
    <w:rsid w:val="00BE63DE"/>
    <w:rsid w:val="00BE7406"/>
    <w:rsid w:val="00BE7546"/>
    <w:rsid w:val="00BE7603"/>
    <w:rsid w:val="00BE7758"/>
    <w:rsid w:val="00BF03E8"/>
    <w:rsid w:val="00BF08E1"/>
    <w:rsid w:val="00BF272A"/>
    <w:rsid w:val="00BF3042"/>
    <w:rsid w:val="00BF3279"/>
    <w:rsid w:val="00BF3859"/>
    <w:rsid w:val="00BF3E83"/>
    <w:rsid w:val="00BF595D"/>
    <w:rsid w:val="00BF74C7"/>
    <w:rsid w:val="00BF7E1E"/>
    <w:rsid w:val="00C015F1"/>
    <w:rsid w:val="00C01F33"/>
    <w:rsid w:val="00C02BB5"/>
    <w:rsid w:val="00C02BE1"/>
    <w:rsid w:val="00C02CC6"/>
    <w:rsid w:val="00C040F7"/>
    <w:rsid w:val="00C044AB"/>
    <w:rsid w:val="00C0505B"/>
    <w:rsid w:val="00C05706"/>
    <w:rsid w:val="00C05E24"/>
    <w:rsid w:val="00C062C3"/>
    <w:rsid w:val="00C06F0F"/>
    <w:rsid w:val="00C0719F"/>
    <w:rsid w:val="00C07377"/>
    <w:rsid w:val="00C10478"/>
    <w:rsid w:val="00C12107"/>
    <w:rsid w:val="00C12ECE"/>
    <w:rsid w:val="00C14738"/>
    <w:rsid w:val="00C1480B"/>
    <w:rsid w:val="00C14D4B"/>
    <w:rsid w:val="00C154BB"/>
    <w:rsid w:val="00C17EDA"/>
    <w:rsid w:val="00C21261"/>
    <w:rsid w:val="00C2128A"/>
    <w:rsid w:val="00C25028"/>
    <w:rsid w:val="00C25467"/>
    <w:rsid w:val="00C26195"/>
    <w:rsid w:val="00C279B5"/>
    <w:rsid w:val="00C27C45"/>
    <w:rsid w:val="00C3534A"/>
    <w:rsid w:val="00C35E9A"/>
    <w:rsid w:val="00C3719D"/>
    <w:rsid w:val="00C37CB2"/>
    <w:rsid w:val="00C414C9"/>
    <w:rsid w:val="00C42326"/>
    <w:rsid w:val="00C4316F"/>
    <w:rsid w:val="00C43AAA"/>
    <w:rsid w:val="00C45C8E"/>
    <w:rsid w:val="00C471B2"/>
    <w:rsid w:val="00C473A5"/>
    <w:rsid w:val="00C502DB"/>
    <w:rsid w:val="00C50A88"/>
    <w:rsid w:val="00C5139E"/>
    <w:rsid w:val="00C5325B"/>
    <w:rsid w:val="00C532BC"/>
    <w:rsid w:val="00C53702"/>
    <w:rsid w:val="00C5419E"/>
    <w:rsid w:val="00C546DC"/>
    <w:rsid w:val="00C54995"/>
    <w:rsid w:val="00C54A17"/>
    <w:rsid w:val="00C54B41"/>
    <w:rsid w:val="00C54D41"/>
    <w:rsid w:val="00C56A35"/>
    <w:rsid w:val="00C56FCA"/>
    <w:rsid w:val="00C60783"/>
    <w:rsid w:val="00C613AA"/>
    <w:rsid w:val="00C62446"/>
    <w:rsid w:val="00C625F5"/>
    <w:rsid w:val="00C62E32"/>
    <w:rsid w:val="00C64672"/>
    <w:rsid w:val="00C65379"/>
    <w:rsid w:val="00C66439"/>
    <w:rsid w:val="00C6763B"/>
    <w:rsid w:val="00C70397"/>
    <w:rsid w:val="00C70697"/>
    <w:rsid w:val="00C717C1"/>
    <w:rsid w:val="00C72093"/>
    <w:rsid w:val="00C72EF4"/>
    <w:rsid w:val="00C736F4"/>
    <w:rsid w:val="00C744FE"/>
    <w:rsid w:val="00C7452B"/>
    <w:rsid w:val="00C75D2F"/>
    <w:rsid w:val="00C767BE"/>
    <w:rsid w:val="00C76E3C"/>
    <w:rsid w:val="00C812DC"/>
    <w:rsid w:val="00C81568"/>
    <w:rsid w:val="00C83321"/>
    <w:rsid w:val="00C836D8"/>
    <w:rsid w:val="00C840CE"/>
    <w:rsid w:val="00C86966"/>
    <w:rsid w:val="00C90278"/>
    <w:rsid w:val="00C9027A"/>
    <w:rsid w:val="00C9068E"/>
    <w:rsid w:val="00C916D4"/>
    <w:rsid w:val="00C91AFF"/>
    <w:rsid w:val="00C93814"/>
    <w:rsid w:val="00C93C4B"/>
    <w:rsid w:val="00C9449D"/>
    <w:rsid w:val="00C944AB"/>
    <w:rsid w:val="00C94566"/>
    <w:rsid w:val="00C95B40"/>
    <w:rsid w:val="00C95BC8"/>
    <w:rsid w:val="00C964B0"/>
    <w:rsid w:val="00C9670A"/>
    <w:rsid w:val="00C975D3"/>
    <w:rsid w:val="00C97630"/>
    <w:rsid w:val="00C97B84"/>
    <w:rsid w:val="00CA0E56"/>
    <w:rsid w:val="00CA1ED8"/>
    <w:rsid w:val="00CA1F1E"/>
    <w:rsid w:val="00CA201E"/>
    <w:rsid w:val="00CA5195"/>
    <w:rsid w:val="00CA5AAA"/>
    <w:rsid w:val="00CB0E9B"/>
    <w:rsid w:val="00CB1F63"/>
    <w:rsid w:val="00CB2C0D"/>
    <w:rsid w:val="00CB37C5"/>
    <w:rsid w:val="00CB3AFC"/>
    <w:rsid w:val="00CB412B"/>
    <w:rsid w:val="00CB4FC0"/>
    <w:rsid w:val="00CB5EFF"/>
    <w:rsid w:val="00CB61F5"/>
    <w:rsid w:val="00CB6AB7"/>
    <w:rsid w:val="00CB7170"/>
    <w:rsid w:val="00CC040E"/>
    <w:rsid w:val="00CC05A7"/>
    <w:rsid w:val="00CC111F"/>
    <w:rsid w:val="00CC1572"/>
    <w:rsid w:val="00CC2011"/>
    <w:rsid w:val="00CC24B5"/>
    <w:rsid w:val="00CC3EA0"/>
    <w:rsid w:val="00CC7B45"/>
    <w:rsid w:val="00CC7C9F"/>
    <w:rsid w:val="00CC7CDF"/>
    <w:rsid w:val="00CD0448"/>
    <w:rsid w:val="00CD0977"/>
    <w:rsid w:val="00CD1188"/>
    <w:rsid w:val="00CD14D5"/>
    <w:rsid w:val="00CD224F"/>
    <w:rsid w:val="00CD24CA"/>
    <w:rsid w:val="00CD2ED1"/>
    <w:rsid w:val="00CD337B"/>
    <w:rsid w:val="00CD5A1E"/>
    <w:rsid w:val="00CD71AB"/>
    <w:rsid w:val="00CE0424"/>
    <w:rsid w:val="00CE0BBF"/>
    <w:rsid w:val="00CE0BF7"/>
    <w:rsid w:val="00CE110E"/>
    <w:rsid w:val="00CE1AAD"/>
    <w:rsid w:val="00CE2ED1"/>
    <w:rsid w:val="00CE50CF"/>
    <w:rsid w:val="00CE5771"/>
    <w:rsid w:val="00CE60E5"/>
    <w:rsid w:val="00CE7561"/>
    <w:rsid w:val="00CE7EE4"/>
    <w:rsid w:val="00CF08A4"/>
    <w:rsid w:val="00CF1354"/>
    <w:rsid w:val="00CF1572"/>
    <w:rsid w:val="00CF25D2"/>
    <w:rsid w:val="00CF287E"/>
    <w:rsid w:val="00CF2FCD"/>
    <w:rsid w:val="00CF329C"/>
    <w:rsid w:val="00CF3B1F"/>
    <w:rsid w:val="00CF3B69"/>
    <w:rsid w:val="00CF3BF6"/>
    <w:rsid w:val="00CF3F81"/>
    <w:rsid w:val="00CF47E8"/>
    <w:rsid w:val="00CF4C44"/>
    <w:rsid w:val="00CF61FB"/>
    <w:rsid w:val="00CF625B"/>
    <w:rsid w:val="00CF687E"/>
    <w:rsid w:val="00D012B3"/>
    <w:rsid w:val="00D0256F"/>
    <w:rsid w:val="00D0349B"/>
    <w:rsid w:val="00D03922"/>
    <w:rsid w:val="00D10249"/>
    <w:rsid w:val="00D115C3"/>
    <w:rsid w:val="00D11897"/>
    <w:rsid w:val="00D12456"/>
    <w:rsid w:val="00D12D3A"/>
    <w:rsid w:val="00D13135"/>
    <w:rsid w:val="00D13455"/>
    <w:rsid w:val="00D13E4E"/>
    <w:rsid w:val="00D1534B"/>
    <w:rsid w:val="00D17090"/>
    <w:rsid w:val="00D175C5"/>
    <w:rsid w:val="00D17802"/>
    <w:rsid w:val="00D20B95"/>
    <w:rsid w:val="00D21882"/>
    <w:rsid w:val="00D2235A"/>
    <w:rsid w:val="00D2268D"/>
    <w:rsid w:val="00D232A9"/>
    <w:rsid w:val="00D2360B"/>
    <w:rsid w:val="00D239A7"/>
    <w:rsid w:val="00D23F47"/>
    <w:rsid w:val="00D252F0"/>
    <w:rsid w:val="00D25FBC"/>
    <w:rsid w:val="00D2770C"/>
    <w:rsid w:val="00D3341B"/>
    <w:rsid w:val="00D356BD"/>
    <w:rsid w:val="00D35E8D"/>
    <w:rsid w:val="00D36E71"/>
    <w:rsid w:val="00D372D1"/>
    <w:rsid w:val="00D37BB6"/>
    <w:rsid w:val="00D37D87"/>
    <w:rsid w:val="00D4076F"/>
    <w:rsid w:val="00D40B33"/>
    <w:rsid w:val="00D40EB5"/>
    <w:rsid w:val="00D4170E"/>
    <w:rsid w:val="00D42712"/>
    <w:rsid w:val="00D4318F"/>
    <w:rsid w:val="00D438BF"/>
    <w:rsid w:val="00D43E4D"/>
    <w:rsid w:val="00D440F8"/>
    <w:rsid w:val="00D44431"/>
    <w:rsid w:val="00D456B0"/>
    <w:rsid w:val="00D4574D"/>
    <w:rsid w:val="00D46C40"/>
    <w:rsid w:val="00D47F23"/>
    <w:rsid w:val="00D527FB"/>
    <w:rsid w:val="00D537B4"/>
    <w:rsid w:val="00D53CAB"/>
    <w:rsid w:val="00D546FF"/>
    <w:rsid w:val="00D54E71"/>
    <w:rsid w:val="00D55609"/>
    <w:rsid w:val="00D55AD5"/>
    <w:rsid w:val="00D55FD1"/>
    <w:rsid w:val="00D573B1"/>
    <w:rsid w:val="00D576CA"/>
    <w:rsid w:val="00D61AF5"/>
    <w:rsid w:val="00D61DF0"/>
    <w:rsid w:val="00D6223C"/>
    <w:rsid w:val="00D62A3C"/>
    <w:rsid w:val="00D652B5"/>
    <w:rsid w:val="00D66155"/>
    <w:rsid w:val="00D67741"/>
    <w:rsid w:val="00D67D33"/>
    <w:rsid w:val="00D702CF"/>
    <w:rsid w:val="00D708B0"/>
    <w:rsid w:val="00D7121A"/>
    <w:rsid w:val="00D7281A"/>
    <w:rsid w:val="00D72889"/>
    <w:rsid w:val="00D739E5"/>
    <w:rsid w:val="00D77938"/>
    <w:rsid w:val="00D77B1D"/>
    <w:rsid w:val="00D8021F"/>
    <w:rsid w:val="00D80383"/>
    <w:rsid w:val="00D81D1B"/>
    <w:rsid w:val="00D823C6"/>
    <w:rsid w:val="00D82FFB"/>
    <w:rsid w:val="00D8327F"/>
    <w:rsid w:val="00D83338"/>
    <w:rsid w:val="00D83449"/>
    <w:rsid w:val="00D83EE9"/>
    <w:rsid w:val="00D855D3"/>
    <w:rsid w:val="00D86CA3"/>
    <w:rsid w:val="00D871CE"/>
    <w:rsid w:val="00D90287"/>
    <w:rsid w:val="00D910BA"/>
    <w:rsid w:val="00D911A6"/>
    <w:rsid w:val="00D9176B"/>
    <w:rsid w:val="00D9196D"/>
    <w:rsid w:val="00D924DC"/>
    <w:rsid w:val="00D92982"/>
    <w:rsid w:val="00D92CAD"/>
    <w:rsid w:val="00D931A1"/>
    <w:rsid w:val="00D93B56"/>
    <w:rsid w:val="00D9585A"/>
    <w:rsid w:val="00D96244"/>
    <w:rsid w:val="00D97C88"/>
    <w:rsid w:val="00DA0110"/>
    <w:rsid w:val="00DA02FA"/>
    <w:rsid w:val="00DA1465"/>
    <w:rsid w:val="00DA192E"/>
    <w:rsid w:val="00DA19A2"/>
    <w:rsid w:val="00DA22A1"/>
    <w:rsid w:val="00DA305E"/>
    <w:rsid w:val="00DA3DC9"/>
    <w:rsid w:val="00DA4058"/>
    <w:rsid w:val="00DA436E"/>
    <w:rsid w:val="00DA4E95"/>
    <w:rsid w:val="00DA5417"/>
    <w:rsid w:val="00DA56E8"/>
    <w:rsid w:val="00DA584D"/>
    <w:rsid w:val="00DA6FFB"/>
    <w:rsid w:val="00DA76A8"/>
    <w:rsid w:val="00DB0A9F"/>
    <w:rsid w:val="00DB14C1"/>
    <w:rsid w:val="00DB17AC"/>
    <w:rsid w:val="00DB2B2E"/>
    <w:rsid w:val="00DB3592"/>
    <w:rsid w:val="00DB3720"/>
    <w:rsid w:val="00DB377D"/>
    <w:rsid w:val="00DB3F93"/>
    <w:rsid w:val="00DB4DF0"/>
    <w:rsid w:val="00DB7926"/>
    <w:rsid w:val="00DC1251"/>
    <w:rsid w:val="00DC2179"/>
    <w:rsid w:val="00DC2CA8"/>
    <w:rsid w:val="00DC2D36"/>
    <w:rsid w:val="00DC3459"/>
    <w:rsid w:val="00DC3654"/>
    <w:rsid w:val="00DC53EF"/>
    <w:rsid w:val="00DC575B"/>
    <w:rsid w:val="00DC6B4A"/>
    <w:rsid w:val="00DC7337"/>
    <w:rsid w:val="00DC7377"/>
    <w:rsid w:val="00DD23CF"/>
    <w:rsid w:val="00DD391C"/>
    <w:rsid w:val="00DD3C97"/>
    <w:rsid w:val="00DD597E"/>
    <w:rsid w:val="00DD61EB"/>
    <w:rsid w:val="00DD654C"/>
    <w:rsid w:val="00DD69DE"/>
    <w:rsid w:val="00DD732D"/>
    <w:rsid w:val="00DE015C"/>
    <w:rsid w:val="00DE03F3"/>
    <w:rsid w:val="00DE0F08"/>
    <w:rsid w:val="00DE49EE"/>
    <w:rsid w:val="00DE5608"/>
    <w:rsid w:val="00DE58D0"/>
    <w:rsid w:val="00DE5A90"/>
    <w:rsid w:val="00DE654F"/>
    <w:rsid w:val="00DF01EA"/>
    <w:rsid w:val="00DF09D4"/>
    <w:rsid w:val="00DF0B6E"/>
    <w:rsid w:val="00DF13E8"/>
    <w:rsid w:val="00DF15E0"/>
    <w:rsid w:val="00DF1777"/>
    <w:rsid w:val="00DF316A"/>
    <w:rsid w:val="00DF37A0"/>
    <w:rsid w:val="00DF3E1B"/>
    <w:rsid w:val="00DF40DD"/>
    <w:rsid w:val="00DF440B"/>
    <w:rsid w:val="00DF4CC3"/>
    <w:rsid w:val="00DF76D0"/>
    <w:rsid w:val="00E006ED"/>
    <w:rsid w:val="00E035B9"/>
    <w:rsid w:val="00E049D4"/>
    <w:rsid w:val="00E06921"/>
    <w:rsid w:val="00E06B1A"/>
    <w:rsid w:val="00E06CC5"/>
    <w:rsid w:val="00E0713D"/>
    <w:rsid w:val="00E07347"/>
    <w:rsid w:val="00E07E84"/>
    <w:rsid w:val="00E110E7"/>
    <w:rsid w:val="00E11B20"/>
    <w:rsid w:val="00E125ED"/>
    <w:rsid w:val="00E1336C"/>
    <w:rsid w:val="00E14CE1"/>
    <w:rsid w:val="00E17885"/>
    <w:rsid w:val="00E17FA2"/>
    <w:rsid w:val="00E20B1F"/>
    <w:rsid w:val="00E20F32"/>
    <w:rsid w:val="00E2142E"/>
    <w:rsid w:val="00E22330"/>
    <w:rsid w:val="00E234CC"/>
    <w:rsid w:val="00E239FF"/>
    <w:rsid w:val="00E242E5"/>
    <w:rsid w:val="00E24A56"/>
    <w:rsid w:val="00E25257"/>
    <w:rsid w:val="00E25F46"/>
    <w:rsid w:val="00E308FD"/>
    <w:rsid w:val="00E30B5A"/>
    <w:rsid w:val="00E30D47"/>
    <w:rsid w:val="00E30DF6"/>
    <w:rsid w:val="00E3107C"/>
    <w:rsid w:val="00E3123D"/>
    <w:rsid w:val="00E31461"/>
    <w:rsid w:val="00E31D43"/>
    <w:rsid w:val="00E32608"/>
    <w:rsid w:val="00E33701"/>
    <w:rsid w:val="00E34188"/>
    <w:rsid w:val="00E34B6E"/>
    <w:rsid w:val="00E35559"/>
    <w:rsid w:val="00E3723A"/>
    <w:rsid w:val="00E37860"/>
    <w:rsid w:val="00E42302"/>
    <w:rsid w:val="00E4275E"/>
    <w:rsid w:val="00E431B9"/>
    <w:rsid w:val="00E44286"/>
    <w:rsid w:val="00E446F1"/>
    <w:rsid w:val="00E4479A"/>
    <w:rsid w:val="00E459A2"/>
    <w:rsid w:val="00E46746"/>
    <w:rsid w:val="00E46886"/>
    <w:rsid w:val="00E47AEF"/>
    <w:rsid w:val="00E51856"/>
    <w:rsid w:val="00E519A5"/>
    <w:rsid w:val="00E53B33"/>
    <w:rsid w:val="00E53B75"/>
    <w:rsid w:val="00E54552"/>
    <w:rsid w:val="00E54E3B"/>
    <w:rsid w:val="00E5545B"/>
    <w:rsid w:val="00E57565"/>
    <w:rsid w:val="00E6223A"/>
    <w:rsid w:val="00E63838"/>
    <w:rsid w:val="00E63BBA"/>
    <w:rsid w:val="00E64434"/>
    <w:rsid w:val="00E64A0D"/>
    <w:rsid w:val="00E664AF"/>
    <w:rsid w:val="00E66D52"/>
    <w:rsid w:val="00E67C51"/>
    <w:rsid w:val="00E705C0"/>
    <w:rsid w:val="00E712C2"/>
    <w:rsid w:val="00E7140D"/>
    <w:rsid w:val="00E715E5"/>
    <w:rsid w:val="00E72594"/>
    <w:rsid w:val="00E727B7"/>
    <w:rsid w:val="00E72EFC"/>
    <w:rsid w:val="00E73256"/>
    <w:rsid w:val="00E7343C"/>
    <w:rsid w:val="00E73C1E"/>
    <w:rsid w:val="00E74569"/>
    <w:rsid w:val="00E74D79"/>
    <w:rsid w:val="00E758EC"/>
    <w:rsid w:val="00E75916"/>
    <w:rsid w:val="00E76623"/>
    <w:rsid w:val="00E76B5B"/>
    <w:rsid w:val="00E775E7"/>
    <w:rsid w:val="00E77A7B"/>
    <w:rsid w:val="00E80ACA"/>
    <w:rsid w:val="00E821DE"/>
    <w:rsid w:val="00E8234C"/>
    <w:rsid w:val="00E83AA9"/>
    <w:rsid w:val="00E85654"/>
    <w:rsid w:val="00E85928"/>
    <w:rsid w:val="00E8723B"/>
    <w:rsid w:val="00E87822"/>
    <w:rsid w:val="00E90395"/>
    <w:rsid w:val="00E90E49"/>
    <w:rsid w:val="00E9176B"/>
    <w:rsid w:val="00E917F9"/>
    <w:rsid w:val="00E921E4"/>
    <w:rsid w:val="00E9291C"/>
    <w:rsid w:val="00E92E6B"/>
    <w:rsid w:val="00E93FC6"/>
    <w:rsid w:val="00E93FFE"/>
    <w:rsid w:val="00E94F8A"/>
    <w:rsid w:val="00E973D2"/>
    <w:rsid w:val="00E97B7C"/>
    <w:rsid w:val="00EA1229"/>
    <w:rsid w:val="00EA1EC1"/>
    <w:rsid w:val="00EA26E6"/>
    <w:rsid w:val="00EA273B"/>
    <w:rsid w:val="00EA2885"/>
    <w:rsid w:val="00EA3156"/>
    <w:rsid w:val="00EA36C1"/>
    <w:rsid w:val="00EA7A41"/>
    <w:rsid w:val="00EB077B"/>
    <w:rsid w:val="00EB086C"/>
    <w:rsid w:val="00EB267D"/>
    <w:rsid w:val="00EB304C"/>
    <w:rsid w:val="00EB304F"/>
    <w:rsid w:val="00EB3956"/>
    <w:rsid w:val="00EB4EA2"/>
    <w:rsid w:val="00EB63A0"/>
    <w:rsid w:val="00EB6D87"/>
    <w:rsid w:val="00EC24D5"/>
    <w:rsid w:val="00EC27B6"/>
    <w:rsid w:val="00EC27C6"/>
    <w:rsid w:val="00EC29DA"/>
    <w:rsid w:val="00EC4207"/>
    <w:rsid w:val="00EC4FD6"/>
    <w:rsid w:val="00EC5284"/>
    <w:rsid w:val="00EC5653"/>
    <w:rsid w:val="00EC6B83"/>
    <w:rsid w:val="00EC71CE"/>
    <w:rsid w:val="00EC76AB"/>
    <w:rsid w:val="00ED1006"/>
    <w:rsid w:val="00ED2831"/>
    <w:rsid w:val="00ED5841"/>
    <w:rsid w:val="00ED6DA6"/>
    <w:rsid w:val="00ED77EB"/>
    <w:rsid w:val="00ED7F88"/>
    <w:rsid w:val="00EE1DA8"/>
    <w:rsid w:val="00EE1DA9"/>
    <w:rsid w:val="00EE2729"/>
    <w:rsid w:val="00EE35DA"/>
    <w:rsid w:val="00EE3873"/>
    <w:rsid w:val="00EE6B0C"/>
    <w:rsid w:val="00EE6B73"/>
    <w:rsid w:val="00EE7954"/>
    <w:rsid w:val="00EF0FD9"/>
    <w:rsid w:val="00EF10D3"/>
    <w:rsid w:val="00EF18FE"/>
    <w:rsid w:val="00EF3505"/>
    <w:rsid w:val="00EF4F6F"/>
    <w:rsid w:val="00EF5787"/>
    <w:rsid w:val="00EF5BD0"/>
    <w:rsid w:val="00EF60D0"/>
    <w:rsid w:val="00EF7F4F"/>
    <w:rsid w:val="00F00F62"/>
    <w:rsid w:val="00F01DB3"/>
    <w:rsid w:val="00F03B65"/>
    <w:rsid w:val="00F03DAF"/>
    <w:rsid w:val="00F04BBC"/>
    <w:rsid w:val="00F05216"/>
    <w:rsid w:val="00F0528D"/>
    <w:rsid w:val="00F06C67"/>
    <w:rsid w:val="00F06DFD"/>
    <w:rsid w:val="00F07070"/>
    <w:rsid w:val="00F071D1"/>
    <w:rsid w:val="00F07533"/>
    <w:rsid w:val="00F10629"/>
    <w:rsid w:val="00F1526C"/>
    <w:rsid w:val="00F153DD"/>
    <w:rsid w:val="00F15FA5"/>
    <w:rsid w:val="00F17F85"/>
    <w:rsid w:val="00F209B7"/>
    <w:rsid w:val="00F21012"/>
    <w:rsid w:val="00F21A5D"/>
    <w:rsid w:val="00F21C94"/>
    <w:rsid w:val="00F22355"/>
    <w:rsid w:val="00F2376F"/>
    <w:rsid w:val="00F243D8"/>
    <w:rsid w:val="00F251B0"/>
    <w:rsid w:val="00F256D6"/>
    <w:rsid w:val="00F30828"/>
    <w:rsid w:val="00F30854"/>
    <w:rsid w:val="00F30B0F"/>
    <w:rsid w:val="00F313C9"/>
    <w:rsid w:val="00F313D6"/>
    <w:rsid w:val="00F33E4A"/>
    <w:rsid w:val="00F35406"/>
    <w:rsid w:val="00F35FC7"/>
    <w:rsid w:val="00F36088"/>
    <w:rsid w:val="00F3653C"/>
    <w:rsid w:val="00F376AE"/>
    <w:rsid w:val="00F37A54"/>
    <w:rsid w:val="00F40F0C"/>
    <w:rsid w:val="00F40F28"/>
    <w:rsid w:val="00F416C3"/>
    <w:rsid w:val="00F4336C"/>
    <w:rsid w:val="00F4502B"/>
    <w:rsid w:val="00F4766C"/>
    <w:rsid w:val="00F5060E"/>
    <w:rsid w:val="00F507D1"/>
    <w:rsid w:val="00F51842"/>
    <w:rsid w:val="00F519CE"/>
    <w:rsid w:val="00F51ADA"/>
    <w:rsid w:val="00F55A6C"/>
    <w:rsid w:val="00F55CD5"/>
    <w:rsid w:val="00F56922"/>
    <w:rsid w:val="00F60203"/>
    <w:rsid w:val="00F6043E"/>
    <w:rsid w:val="00F607C5"/>
    <w:rsid w:val="00F60DEA"/>
    <w:rsid w:val="00F62B01"/>
    <w:rsid w:val="00F62C65"/>
    <w:rsid w:val="00F62CE5"/>
    <w:rsid w:val="00F6302A"/>
    <w:rsid w:val="00F63950"/>
    <w:rsid w:val="00F6459B"/>
    <w:rsid w:val="00F645B0"/>
    <w:rsid w:val="00F64C2B"/>
    <w:rsid w:val="00F64DAA"/>
    <w:rsid w:val="00F650CB"/>
    <w:rsid w:val="00F651BE"/>
    <w:rsid w:val="00F65C17"/>
    <w:rsid w:val="00F67F53"/>
    <w:rsid w:val="00F703BE"/>
    <w:rsid w:val="00F711BA"/>
    <w:rsid w:val="00F71F69"/>
    <w:rsid w:val="00F72B72"/>
    <w:rsid w:val="00F74B9A"/>
    <w:rsid w:val="00F74BB9"/>
    <w:rsid w:val="00F75582"/>
    <w:rsid w:val="00F766B5"/>
    <w:rsid w:val="00F76700"/>
    <w:rsid w:val="00F76EFA"/>
    <w:rsid w:val="00F77F6C"/>
    <w:rsid w:val="00F804BE"/>
    <w:rsid w:val="00F817CE"/>
    <w:rsid w:val="00F837D2"/>
    <w:rsid w:val="00F83F32"/>
    <w:rsid w:val="00F8456C"/>
    <w:rsid w:val="00F84D62"/>
    <w:rsid w:val="00F859D8"/>
    <w:rsid w:val="00F8657B"/>
    <w:rsid w:val="00F866C5"/>
    <w:rsid w:val="00F868F5"/>
    <w:rsid w:val="00F9056A"/>
    <w:rsid w:val="00F90F8D"/>
    <w:rsid w:val="00F917F6"/>
    <w:rsid w:val="00F91F83"/>
    <w:rsid w:val="00F92782"/>
    <w:rsid w:val="00F9397C"/>
    <w:rsid w:val="00F93AA9"/>
    <w:rsid w:val="00F943E1"/>
    <w:rsid w:val="00F94810"/>
    <w:rsid w:val="00F9649A"/>
    <w:rsid w:val="00F96985"/>
    <w:rsid w:val="00F976B6"/>
    <w:rsid w:val="00F97838"/>
    <w:rsid w:val="00FA083F"/>
    <w:rsid w:val="00FA2BB3"/>
    <w:rsid w:val="00FA7D49"/>
    <w:rsid w:val="00FA7DA0"/>
    <w:rsid w:val="00FB3753"/>
    <w:rsid w:val="00FB3960"/>
    <w:rsid w:val="00FB4C80"/>
    <w:rsid w:val="00FB4FA4"/>
    <w:rsid w:val="00FB6A6A"/>
    <w:rsid w:val="00FB7FFB"/>
    <w:rsid w:val="00FC0948"/>
    <w:rsid w:val="00FC1CF2"/>
    <w:rsid w:val="00FC1F38"/>
    <w:rsid w:val="00FC42FB"/>
    <w:rsid w:val="00FC581B"/>
    <w:rsid w:val="00FC73F9"/>
    <w:rsid w:val="00FC7429"/>
    <w:rsid w:val="00FC76B9"/>
    <w:rsid w:val="00FD07F6"/>
    <w:rsid w:val="00FD155E"/>
    <w:rsid w:val="00FD19E6"/>
    <w:rsid w:val="00FD1EC8"/>
    <w:rsid w:val="00FD25BC"/>
    <w:rsid w:val="00FD2A7E"/>
    <w:rsid w:val="00FD2FF7"/>
    <w:rsid w:val="00FD47ED"/>
    <w:rsid w:val="00FD74DB"/>
    <w:rsid w:val="00FD7660"/>
    <w:rsid w:val="00FE052A"/>
    <w:rsid w:val="00FE0655"/>
    <w:rsid w:val="00FE09D3"/>
    <w:rsid w:val="00FE1E9D"/>
    <w:rsid w:val="00FE2085"/>
    <w:rsid w:val="00FE2365"/>
    <w:rsid w:val="00FE37D7"/>
    <w:rsid w:val="00FE4976"/>
    <w:rsid w:val="00FE4C7B"/>
    <w:rsid w:val="00FE5C79"/>
    <w:rsid w:val="00FE65B9"/>
    <w:rsid w:val="00FE7336"/>
    <w:rsid w:val="00FE787C"/>
    <w:rsid w:val="00FF0E82"/>
    <w:rsid w:val="00FF45A5"/>
    <w:rsid w:val="00FF4A2B"/>
    <w:rsid w:val="00FF5A83"/>
    <w:rsid w:val="00FF5C91"/>
    <w:rsid w:val="00FF7D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E6"/>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EA26E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EA26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A26E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EA26E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link w:val="Paragraphedeliste"/>
    <w:uiPriority w:val="34"/>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E6"/>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EA26E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EA26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A26E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EA26E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link w:val="Paragraphedeliste"/>
    <w:uiPriority w:val="34"/>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56101">
      <w:bodyDiv w:val="1"/>
      <w:marLeft w:val="0"/>
      <w:marRight w:val="0"/>
      <w:marTop w:val="0"/>
      <w:marBottom w:val="0"/>
      <w:divBdr>
        <w:top w:val="none" w:sz="0" w:space="0" w:color="auto"/>
        <w:left w:val="none" w:sz="0" w:space="0" w:color="auto"/>
        <w:bottom w:val="none" w:sz="0" w:space="0" w:color="auto"/>
        <w:right w:val="none" w:sz="0" w:space="0" w:color="auto"/>
      </w:divBdr>
    </w:div>
    <w:div w:id="346256941">
      <w:bodyDiv w:val="1"/>
      <w:marLeft w:val="0"/>
      <w:marRight w:val="0"/>
      <w:marTop w:val="0"/>
      <w:marBottom w:val="0"/>
      <w:divBdr>
        <w:top w:val="none" w:sz="0" w:space="0" w:color="auto"/>
        <w:left w:val="none" w:sz="0" w:space="0" w:color="auto"/>
        <w:bottom w:val="none" w:sz="0" w:space="0" w:color="auto"/>
        <w:right w:val="none" w:sz="0" w:space="0" w:color="auto"/>
      </w:divBdr>
    </w:div>
    <w:div w:id="647780850">
      <w:bodyDiv w:val="1"/>
      <w:marLeft w:val="0"/>
      <w:marRight w:val="0"/>
      <w:marTop w:val="0"/>
      <w:marBottom w:val="0"/>
      <w:divBdr>
        <w:top w:val="none" w:sz="0" w:space="0" w:color="auto"/>
        <w:left w:val="none" w:sz="0" w:space="0" w:color="auto"/>
        <w:bottom w:val="none" w:sz="0" w:space="0" w:color="auto"/>
        <w:right w:val="none" w:sz="0" w:space="0" w:color="auto"/>
      </w:divBdr>
    </w:div>
    <w:div w:id="679312303">
      <w:bodyDiv w:val="1"/>
      <w:marLeft w:val="0"/>
      <w:marRight w:val="0"/>
      <w:marTop w:val="0"/>
      <w:marBottom w:val="0"/>
      <w:divBdr>
        <w:top w:val="none" w:sz="0" w:space="0" w:color="auto"/>
        <w:left w:val="none" w:sz="0" w:space="0" w:color="auto"/>
        <w:bottom w:val="none" w:sz="0" w:space="0" w:color="auto"/>
        <w:right w:val="none" w:sz="0" w:space="0" w:color="auto"/>
      </w:divBdr>
    </w:div>
    <w:div w:id="76581209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026953597">
      <w:bodyDiv w:val="1"/>
      <w:marLeft w:val="0"/>
      <w:marRight w:val="0"/>
      <w:marTop w:val="0"/>
      <w:marBottom w:val="0"/>
      <w:divBdr>
        <w:top w:val="none" w:sz="0" w:space="0" w:color="auto"/>
        <w:left w:val="none" w:sz="0" w:space="0" w:color="auto"/>
        <w:bottom w:val="none" w:sz="0" w:space="0" w:color="auto"/>
        <w:right w:val="none" w:sz="0" w:space="0" w:color="auto"/>
      </w:divBdr>
    </w:div>
    <w:div w:id="1070620518">
      <w:bodyDiv w:val="1"/>
      <w:marLeft w:val="0"/>
      <w:marRight w:val="0"/>
      <w:marTop w:val="0"/>
      <w:marBottom w:val="0"/>
      <w:divBdr>
        <w:top w:val="none" w:sz="0" w:space="0" w:color="auto"/>
        <w:left w:val="none" w:sz="0" w:space="0" w:color="auto"/>
        <w:bottom w:val="none" w:sz="0" w:space="0" w:color="auto"/>
        <w:right w:val="none" w:sz="0" w:space="0" w:color="auto"/>
      </w:divBdr>
    </w:div>
    <w:div w:id="1094203549">
      <w:bodyDiv w:val="1"/>
      <w:marLeft w:val="0"/>
      <w:marRight w:val="0"/>
      <w:marTop w:val="0"/>
      <w:marBottom w:val="0"/>
      <w:divBdr>
        <w:top w:val="none" w:sz="0" w:space="0" w:color="auto"/>
        <w:left w:val="none" w:sz="0" w:space="0" w:color="auto"/>
        <w:bottom w:val="none" w:sz="0" w:space="0" w:color="auto"/>
        <w:right w:val="none" w:sz="0" w:space="0" w:color="auto"/>
      </w:divBdr>
    </w:div>
    <w:div w:id="1370031907">
      <w:bodyDiv w:val="1"/>
      <w:marLeft w:val="0"/>
      <w:marRight w:val="0"/>
      <w:marTop w:val="0"/>
      <w:marBottom w:val="0"/>
      <w:divBdr>
        <w:top w:val="none" w:sz="0" w:space="0" w:color="auto"/>
        <w:left w:val="none" w:sz="0" w:space="0" w:color="auto"/>
        <w:bottom w:val="none" w:sz="0" w:space="0" w:color="auto"/>
        <w:right w:val="none" w:sz="0" w:space="0" w:color="auto"/>
      </w:divBdr>
    </w:div>
    <w:div w:id="1475754782">
      <w:bodyDiv w:val="1"/>
      <w:marLeft w:val="0"/>
      <w:marRight w:val="0"/>
      <w:marTop w:val="0"/>
      <w:marBottom w:val="0"/>
      <w:divBdr>
        <w:top w:val="none" w:sz="0" w:space="0" w:color="auto"/>
        <w:left w:val="none" w:sz="0" w:space="0" w:color="auto"/>
        <w:bottom w:val="none" w:sz="0" w:space="0" w:color="auto"/>
        <w:right w:val="none" w:sz="0" w:space="0" w:color="auto"/>
      </w:divBdr>
    </w:div>
    <w:div w:id="1512262544">
      <w:bodyDiv w:val="1"/>
      <w:marLeft w:val="0"/>
      <w:marRight w:val="0"/>
      <w:marTop w:val="0"/>
      <w:marBottom w:val="0"/>
      <w:divBdr>
        <w:top w:val="none" w:sz="0" w:space="0" w:color="auto"/>
        <w:left w:val="none" w:sz="0" w:space="0" w:color="auto"/>
        <w:bottom w:val="none" w:sz="0" w:space="0" w:color="auto"/>
        <w:right w:val="none" w:sz="0" w:space="0" w:color="auto"/>
      </w:divBdr>
    </w:div>
    <w:div w:id="1695155093">
      <w:bodyDiv w:val="1"/>
      <w:marLeft w:val="0"/>
      <w:marRight w:val="0"/>
      <w:marTop w:val="0"/>
      <w:marBottom w:val="0"/>
      <w:divBdr>
        <w:top w:val="none" w:sz="0" w:space="0" w:color="auto"/>
        <w:left w:val="none" w:sz="0" w:space="0" w:color="auto"/>
        <w:bottom w:val="none" w:sz="0" w:space="0" w:color="auto"/>
        <w:right w:val="none" w:sz="0" w:space="0" w:color="auto"/>
      </w:divBdr>
    </w:div>
    <w:div w:id="171102770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313585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265565">
      <w:bodyDiv w:val="1"/>
      <w:marLeft w:val="0"/>
      <w:marRight w:val="0"/>
      <w:marTop w:val="0"/>
      <w:marBottom w:val="0"/>
      <w:divBdr>
        <w:top w:val="none" w:sz="0" w:space="0" w:color="auto"/>
        <w:left w:val="none" w:sz="0" w:space="0" w:color="auto"/>
        <w:bottom w:val="none" w:sz="0" w:space="0" w:color="auto"/>
        <w:right w:val="none" w:sz="0" w:space="0" w:color="auto"/>
      </w:divBdr>
    </w:div>
    <w:div w:id="1979873379">
      <w:bodyDiv w:val="1"/>
      <w:marLeft w:val="0"/>
      <w:marRight w:val="0"/>
      <w:marTop w:val="0"/>
      <w:marBottom w:val="0"/>
      <w:divBdr>
        <w:top w:val="none" w:sz="0" w:space="0" w:color="auto"/>
        <w:left w:val="none" w:sz="0" w:space="0" w:color="auto"/>
        <w:bottom w:val="none" w:sz="0" w:space="0" w:color="auto"/>
        <w:right w:val="none" w:sz="0" w:space="0" w:color="auto"/>
      </w:divBdr>
    </w:div>
    <w:div w:id="1980456293">
      <w:bodyDiv w:val="1"/>
      <w:marLeft w:val="0"/>
      <w:marRight w:val="0"/>
      <w:marTop w:val="0"/>
      <w:marBottom w:val="0"/>
      <w:divBdr>
        <w:top w:val="none" w:sz="0" w:space="0" w:color="auto"/>
        <w:left w:val="none" w:sz="0" w:space="0" w:color="auto"/>
        <w:bottom w:val="none" w:sz="0" w:space="0" w:color="auto"/>
        <w:right w:val="none" w:sz="0" w:space="0" w:color="auto"/>
      </w:divBdr>
      <w:divsChild>
        <w:div w:id="1635283816">
          <w:marLeft w:val="0"/>
          <w:marRight w:val="0"/>
          <w:marTop w:val="0"/>
          <w:marBottom w:val="0"/>
          <w:divBdr>
            <w:top w:val="none" w:sz="0" w:space="0" w:color="auto"/>
            <w:left w:val="none" w:sz="0" w:space="0" w:color="auto"/>
            <w:bottom w:val="none" w:sz="0" w:space="0" w:color="auto"/>
            <w:right w:val="none" w:sz="0" w:space="0" w:color="auto"/>
          </w:divBdr>
        </w:div>
      </w:divsChild>
    </w:div>
    <w:div w:id="2016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
    <b:Tag>TR32</b:Tag>
    <b:SourceType>ConferenceProceedings</b:SourceType>
    <b:Guid>{EAA01403-C092-4868-965E-D1D469D7D769}</b:Guid>
    <b:Title>TR38.213 Physical layer procedures for control</b:Title>
    <b:RefOrder>5</b:RefOrder>
  </b:Source>
  <b:Source>
    <b:Tag>Fra19</b:Tag>
    <b:SourceType>ConferenceProceedings</b:SourceType>
    <b:Guid>{A9767954-61B9-47E0-B1A3-CE8A4D6D83E7}</b:Guid>
    <b:Author>
      <b:Author>
        <b:Corporate>Fraunhofer IIS, Fraunhofer HHI, Thales</b:Corporate>
      </b:Author>
    </b:Author>
    <b:Title>Timing Advance Adjustments for Satellite Communications (NTN)</b:Title>
    <b:Year>2019</b:Year>
    <b:ConferenceName>3GPP TSG RAN WG1 Meeting RAN1#96</b:ConferenceName>
    <b:City>Athens</b:City>
    <b:RefOrder>6</b:RefOrder>
  </b:Source>
  <b:Source>
    <b:Tag>ZTE19</b:Tag>
    <b:SourceType>ConferenceProceedings</b:SourceType>
    <b:Guid>{9118534D-5AA5-40C9-8D83-AF5FAA93AB23}</b:Guid>
    <b:Author>
      <b:Author>
        <b:Corporate>ZTE</b:Corporate>
      </b:Author>
    </b:Author>
    <b:Title>Discussion on the enhancement for TA in NTN</b:Title>
    <b:Year>2019</b:Year>
    <b:ConferenceName>3GPP TSG RAN WG1 #96</b:ConferenceName>
    <b:City>Athens</b:City>
    <b:RefOrder>7</b:RefOrder>
  </b:Source>
  <b:Source>
    <b:Tag>Cha19</b:Tag>
    <b:SourceType>ConferenceProceedings</b:SourceType>
    <b:Guid>{605CC7F8-7983-4828-8813-094BEA34CE77}</b:Guid>
    <b:Title>Chairman's Notes RAN1#96bis</b:Title>
    <b:Year>April 6th-12th 2019</b:Year>
    <b:ConferenceName>3GPP TSG RAN WG1 Meeting #96bis</b:ConferenceName>
    <b:City>Xian, China</b:City>
    <b:RefOrder>4</b:RefOrder>
  </b:Source>
</b:Sources>
</file>

<file path=customXml/itemProps1.xml><?xml version="1.0" encoding="utf-8"?>
<ds:datastoreItem xmlns:ds="http://schemas.openxmlformats.org/officeDocument/2006/customXml" ds:itemID="{C7B52EC2-FAB5-44DD-B8B5-6F4E4BA0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2144</Words>
  <Characters>12222</Characters>
  <Application>Microsoft Office Word</Application>
  <DocSecurity>0</DocSecurity>
  <Lines>101</Lines>
  <Paragraphs>28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14338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2019-10-04T08:59:00Z</dcterms:created>
  <dcterms:modified xsi:type="dcterms:W3CDTF">2019-10-04T09:02:00Z</dcterms:modified>
</cp:coreProperties>
</file>